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54416F" w:rsidTr="0054416F">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54416F">
              <w:tc>
                <w:tcPr>
                  <w:tcW w:w="150" w:type="dxa"/>
                  <w:vAlign w:val="center"/>
                  <w:hideMark/>
                </w:tcPr>
                <w:p w:rsidR="0054416F" w:rsidRDefault="0054416F"/>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54416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54416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54416F">
                                <w:tc>
                                  <w:tcPr>
                                    <w:tcW w:w="0" w:type="auto"/>
                                    <w:tcMar>
                                      <w:top w:w="300" w:type="dxa"/>
                                      <w:left w:w="300" w:type="dxa"/>
                                      <w:bottom w:w="75" w:type="dxa"/>
                                      <w:right w:w="300" w:type="dxa"/>
                                    </w:tcMar>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r w:rsidR="0054416F" w:rsidTr="0054416F">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072"/>
            </w:tblGrid>
            <w:tr w:rsidR="0054416F">
              <w:trPr>
                <w:trHeight w:val="150"/>
              </w:trPr>
              <w:tc>
                <w:tcPr>
                  <w:tcW w:w="9750" w:type="dxa"/>
                  <w:shd w:val="clear" w:color="auto" w:fill="FFFFFF"/>
                  <w:tcMar>
                    <w:top w:w="0" w:type="dxa"/>
                    <w:left w:w="150" w:type="dxa"/>
                    <w:bottom w:w="0" w:type="dxa"/>
                    <w:right w:w="150" w:type="dxa"/>
                  </w:tcMar>
                  <w:vAlign w:val="center"/>
                  <w:hideMark/>
                </w:tcPr>
                <w:p w:rsidR="0054416F" w:rsidRDefault="0054416F">
                  <w:pPr>
                    <w:spacing w:line="150" w:lineRule="exact"/>
                  </w:pPr>
                  <w:r>
                    <w:rPr>
                      <w:sz w:val="15"/>
                      <w:szCs w:val="15"/>
                      <w:lang w:eastAsia="en-US"/>
                    </w:rPr>
                    <w:t xml:space="preserve">  </w:t>
                  </w:r>
                </w:p>
              </w:tc>
            </w:tr>
          </w:tbl>
          <w:p w:rsidR="0054416F" w:rsidRDefault="0054416F">
            <w:pPr>
              <w:spacing w:line="252" w:lineRule="auto"/>
            </w:pPr>
            <w:r>
              <w:rPr>
                <w:lang w:eastAsia="en-US"/>
              </w:rPr>
              <w:t> </w:t>
            </w:r>
          </w:p>
          <w:tbl>
            <w:tblPr>
              <w:tblW w:w="0" w:type="auto"/>
              <w:tblCellMar>
                <w:left w:w="0" w:type="dxa"/>
                <w:right w:w="0" w:type="dxa"/>
              </w:tblCellMar>
              <w:tblLook w:val="04A0" w:firstRow="1" w:lastRow="0" w:firstColumn="1" w:lastColumn="0" w:noHBand="0" w:noVBand="1"/>
            </w:tblPr>
            <w:tblGrid>
              <w:gridCol w:w="131"/>
              <w:gridCol w:w="8810"/>
              <w:gridCol w:w="131"/>
            </w:tblGrid>
            <w:tr w:rsidR="0054416F">
              <w:tc>
                <w:tcPr>
                  <w:tcW w:w="150" w:type="dxa"/>
                  <w:shd w:val="clear" w:color="auto" w:fill="FFFFFF"/>
                  <w:vAlign w:val="center"/>
                  <w:hideMark/>
                </w:tcPr>
                <w:p w:rsidR="0054416F" w:rsidRDefault="0054416F"/>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54416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54416F">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54416F">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54416F">
                                            <w:tc>
                                              <w:tcPr>
                                                <w:tcW w:w="0" w:type="auto"/>
                                                <w:vAlign w:val="center"/>
                                                <w:hideMark/>
                                              </w:tcPr>
                                              <w:p w:rsidR="0054416F" w:rsidRDefault="0054416F">
                                                <w:pPr>
                                                  <w:spacing w:line="0" w:lineRule="atLeast"/>
                                                </w:pPr>
                                                <w:r>
                                                  <w:rPr>
                                                    <w:noProof/>
                                                  </w:rPr>
                                                  <w:drawing>
                                                    <wp:inline distT="0" distB="0" distL="0" distR="0">
                                                      <wp:extent cx="1714500" cy="1009650"/>
                                                      <wp:effectExtent l="0" t="0" r="0" b="0"/>
                                                      <wp:docPr id="1" name="Image 1" descr="cid:image001.png@01D6C8DC.2CE31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6C8DC.2CE31C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4500" cy="1009650"/>
                                                              </a:xfrm>
                                                              <a:prstGeom prst="rect">
                                                                <a:avLst/>
                                                              </a:prstGeom>
                                                              <a:noFill/>
                                                              <a:ln>
                                                                <a:noFill/>
                                                              </a:ln>
                                                            </pic:spPr>
                                                          </pic:pic>
                                                        </a:graphicData>
                                                      </a:graphic>
                                                    </wp:inline>
                                                  </w:drawing>
                                                </w:r>
                                              </w:p>
                                            </w:tc>
                                          </w:tr>
                                        </w:tbl>
                                        <w:p w:rsidR="0054416F" w:rsidRDefault="0054416F">
                                          <w:pPr>
                                            <w:rPr>
                                              <w:rFonts w:eastAsia="Times New Roman"/>
                                              <w:sz w:val="20"/>
                                              <w:szCs w:val="20"/>
                                            </w:rPr>
                                          </w:pPr>
                                        </w:p>
                                      </w:tc>
                                    </w:tr>
                                  </w:tbl>
                                  <w:p w:rsidR="0054416F" w:rsidRDefault="0054416F">
                                    <w:pPr>
                                      <w:spacing w:line="252" w:lineRule="auto"/>
                                      <w:jc w:val="center"/>
                                    </w:pPr>
                                    <w:r>
                                      <w:rPr>
                                        <w:lang w:eastAsia="en-US"/>
                                      </w:rPr>
                                      <w:t> </w:t>
                                    </w:r>
                                  </w:p>
                                  <w:tbl>
                                    <w:tblPr>
                                      <w:tblW w:w="0" w:type="auto"/>
                                      <w:jc w:val="center"/>
                                      <w:tblCellMar>
                                        <w:left w:w="0" w:type="dxa"/>
                                        <w:right w:w="0" w:type="dxa"/>
                                      </w:tblCellMar>
                                      <w:tblLook w:val="04A0" w:firstRow="1" w:lastRow="0" w:firstColumn="1" w:lastColumn="0" w:noHBand="0" w:noVBand="1"/>
                                    </w:tblPr>
                                    <w:tblGrid>
                                      <w:gridCol w:w="75"/>
                                    </w:tblGrid>
                                    <w:tr w:rsidR="0054416F">
                                      <w:trPr>
                                        <w:trHeight w:val="300"/>
                                        <w:jc w:val="center"/>
                                      </w:trPr>
                                      <w:tc>
                                        <w:tcPr>
                                          <w:tcW w:w="0" w:type="auto"/>
                                          <w:vAlign w:val="center"/>
                                          <w:hideMark/>
                                        </w:tcPr>
                                        <w:p w:rsidR="0054416F" w:rsidRDefault="0054416F">
                                          <w:pPr>
                                            <w:spacing w:line="300" w:lineRule="exact"/>
                                          </w:pPr>
                                          <w:r>
                                            <w:rPr>
                                              <w:sz w:val="30"/>
                                              <w:szCs w:val="30"/>
                                              <w:lang w:eastAsia="en-US"/>
                                            </w:rPr>
                                            <w:t xml:space="preserve">  </w:t>
                                          </w:r>
                                        </w:p>
                                      </w:tc>
                                    </w:tr>
                                  </w:tbl>
                                  <w:p w:rsidR="0054416F" w:rsidRDefault="0054416F">
                                    <w:pPr>
                                      <w:jc w:val="cente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rsidP="0054416F">
      <w:pPr>
        <w:spacing w:line="252" w:lineRule="auto"/>
      </w:pPr>
      <w:r>
        <w:rPr>
          <w:lang w:eastAsia="en-US"/>
        </w:rPr>
        <w:t> </w:t>
      </w:r>
    </w:p>
    <w:tbl>
      <w:tblPr>
        <w:tblW w:w="5000" w:type="pct"/>
        <w:tblCellMar>
          <w:left w:w="0" w:type="dxa"/>
          <w:right w:w="0" w:type="dxa"/>
        </w:tblCellMar>
        <w:tblLook w:val="04A0" w:firstRow="1" w:lastRow="0" w:firstColumn="1" w:lastColumn="0" w:noHBand="0" w:noVBand="1"/>
      </w:tblPr>
      <w:tblGrid>
        <w:gridCol w:w="9072"/>
      </w:tblGrid>
      <w:tr w:rsidR="0054416F" w:rsidTr="0054416F">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54416F">
              <w:tc>
                <w:tcPr>
                  <w:tcW w:w="150" w:type="dxa"/>
                  <w:shd w:val="clear" w:color="auto" w:fill="FFFFFF"/>
                  <w:vAlign w:val="center"/>
                  <w:hideMark/>
                </w:tcPr>
                <w:p w:rsidR="0054416F" w:rsidRDefault="0054416F"/>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54416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54416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8"/>
                                    </w:tblGrid>
                                    <w:tr w:rsidR="0054416F">
                                      <w:tc>
                                        <w:tcPr>
                                          <w:tcW w:w="0" w:type="auto"/>
                                          <w:vAlign w:val="center"/>
                                          <w:hideMark/>
                                        </w:tcPr>
                                        <w:p w:rsidR="0054416F" w:rsidRDefault="0054416F">
                                          <w:pPr>
                                            <w:pStyle w:val="NormalWeb"/>
                                            <w:spacing w:before="0" w:beforeAutospacing="0" w:after="0" w:afterAutospacing="0" w:line="390" w:lineRule="exact"/>
                                            <w:jc w:val="center"/>
                                          </w:pPr>
                                          <w:r>
                                            <w:rPr>
                                              <w:rStyle w:val="lev"/>
                                              <w:rFonts w:ascii="Arial" w:hAnsi="Arial" w:cs="Arial"/>
                                              <w:color w:val="000000"/>
                                              <w:lang w:eastAsia="en-US"/>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54416F">
                                      <w:trPr>
                                        <w:trHeight w:val="300"/>
                                        <w:jc w:val="center"/>
                                      </w:trPr>
                                      <w:tc>
                                        <w:tcPr>
                                          <w:tcW w:w="0" w:type="auto"/>
                                          <w:vAlign w:val="center"/>
                                          <w:hideMark/>
                                        </w:tcPr>
                                        <w:p w:rsidR="0054416F" w:rsidRDefault="0054416F">
                                          <w:pPr>
                                            <w:spacing w:line="300" w:lineRule="exact"/>
                                          </w:pPr>
                                          <w:r>
                                            <w:rPr>
                                              <w:sz w:val="30"/>
                                              <w:szCs w:val="30"/>
                                              <w:lang w:eastAsia="en-US"/>
                                            </w:rPr>
                                            <w:t xml:space="preserve">  </w:t>
                                          </w:r>
                                        </w:p>
                                      </w:tc>
                                    </w:tr>
                                  </w:tbl>
                                  <w:p w:rsidR="0054416F" w:rsidRDefault="0054416F">
                                    <w:pPr>
                                      <w:jc w:val="cente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r w:rsidR="0054416F" w:rsidTr="0054416F">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54416F">
              <w:tc>
                <w:tcPr>
                  <w:tcW w:w="150" w:type="dxa"/>
                  <w:shd w:val="clear" w:color="auto" w:fill="FFFFFF"/>
                  <w:vAlign w:val="center"/>
                  <w:hideMark/>
                </w:tcPr>
                <w:p w:rsidR="0054416F" w:rsidRDefault="0054416F">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54416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54416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5"/>
                                    </w:tblGrid>
                                    <w:tr w:rsidR="0054416F">
                                      <w:tc>
                                        <w:tcPr>
                                          <w:tcW w:w="0" w:type="auto"/>
                                          <w:vAlign w:val="center"/>
                                          <w:hideMark/>
                                        </w:tcPr>
                                        <w:p w:rsidR="0054416F" w:rsidRDefault="0054416F">
                                          <w:pPr>
                                            <w:spacing w:line="252" w:lineRule="auto"/>
                                            <w:jc w:val="right"/>
                                          </w:pPr>
                                          <w:r>
                                            <w:rPr>
                                              <w:rFonts w:ascii="Arial" w:hAnsi="Arial" w:cs="Arial"/>
                                              <w:sz w:val="20"/>
                                              <w:szCs w:val="20"/>
                                              <w:lang w:eastAsia="en-US"/>
                                            </w:rPr>
                                            <w:t>Paris, le 2 décembre 2020</w:t>
                                          </w:r>
                                        </w:p>
                                      </w:tc>
                                    </w:tr>
                                  </w:tbl>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rsidP="0054416F">
      <w:pPr>
        <w:spacing w:line="252" w:lineRule="auto"/>
      </w:pPr>
      <w:r>
        <w:rPr>
          <w:lang w:eastAsia="en-US"/>
        </w:rPr>
        <w:t> </w:t>
      </w:r>
    </w:p>
    <w:tbl>
      <w:tblPr>
        <w:tblW w:w="5000" w:type="pct"/>
        <w:tblCellMar>
          <w:left w:w="0" w:type="dxa"/>
          <w:right w:w="0" w:type="dxa"/>
        </w:tblCellMar>
        <w:tblLook w:val="04A0" w:firstRow="1" w:lastRow="0" w:firstColumn="1" w:lastColumn="0" w:noHBand="0" w:noVBand="1"/>
      </w:tblPr>
      <w:tblGrid>
        <w:gridCol w:w="9072"/>
      </w:tblGrid>
      <w:tr w:rsidR="0054416F" w:rsidTr="0054416F">
        <w:tc>
          <w:tcPr>
            <w:tcW w:w="0" w:type="auto"/>
            <w:vAlign w:val="center"/>
            <w:hideMark/>
          </w:tcPr>
          <w:tbl>
            <w:tblPr>
              <w:tblW w:w="0" w:type="auto"/>
              <w:tblCellMar>
                <w:left w:w="0" w:type="dxa"/>
                <w:right w:w="0" w:type="dxa"/>
              </w:tblCellMar>
              <w:tblLook w:val="04A0" w:firstRow="1" w:lastRow="0" w:firstColumn="1" w:lastColumn="0" w:noHBand="0" w:noVBand="1"/>
            </w:tblPr>
            <w:tblGrid>
              <w:gridCol w:w="91"/>
              <w:gridCol w:w="8890"/>
              <w:gridCol w:w="91"/>
            </w:tblGrid>
            <w:tr w:rsidR="0054416F">
              <w:tc>
                <w:tcPr>
                  <w:tcW w:w="150" w:type="dxa"/>
                  <w:shd w:val="clear" w:color="auto" w:fill="FFFFFF"/>
                  <w:vAlign w:val="center"/>
                  <w:hideMark/>
                </w:tcPr>
                <w:p w:rsidR="0054416F" w:rsidRDefault="0054416F"/>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90"/>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6979"/>
                          <w:gridCol w:w="1911"/>
                        </w:tblGrid>
                        <w:tr w:rsidR="0054416F">
                          <w:trPr>
                            <w:jc w:val="center"/>
                          </w:trPr>
                          <w:tc>
                            <w:tcPr>
                              <w:tcW w:w="3050" w:type="pct"/>
                              <w:hideMark/>
                            </w:tcPr>
                            <w:tbl>
                              <w:tblPr>
                                <w:tblW w:w="5000" w:type="pct"/>
                                <w:tblCellMar>
                                  <w:left w:w="0" w:type="dxa"/>
                                  <w:right w:w="0" w:type="dxa"/>
                                </w:tblCellMar>
                                <w:tblLook w:val="04A0" w:firstRow="1" w:lastRow="0" w:firstColumn="1" w:lastColumn="0" w:noHBand="0" w:noVBand="1"/>
                              </w:tblPr>
                              <w:tblGrid>
                                <w:gridCol w:w="6979"/>
                              </w:tblGrid>
                              <w:tr w:rsidR="0054416F">
                                <w:tc>
                                  <w:tcPr>
                                    <w:tcW w:w="5000" w:type="pct"/>
                                    <w:tcMar>
                                      <w:top w:w="300" w:type="dxa"/>
                                      <w:left w:w="300" w:type="dxa"/>
                                      <w:bottom w:w="300" w:type="dxa"/>
                                      <w:right w:w="300" w:type="dxa"/>
                                    </w:tcMar>
                                    <w:vAlign w:val="center"/>
                                    <w:hideMark/>
                                  </w:tcPr>
                                  <w:tbl>
                                    <w:tblPr>
                                      <w:tblpPr w:vertAnchor="text"/>
                                      <w:tblW w:w="6379" w:type="dxa"/>
                                      <w:tblCellMar>
                                        <w:left w:w="0" w:type="dxa"/>
                                        <w:right w:w="0" w:type="dxa"/>
                                      </w:tblCellMar>
                                      <w:tblLook w:val="04A0" w:firstRow="1" w:lastRow="0" w:firstColumn="1" w:lastColumn="0" w:noHBand="0" w:noVBand="1"/>
                                    </w:tblPr>
                                    <w:tblGrid>
                                      <w:gridCol w:w="6379"/>
                                    </w:tblGrid>
                                    <w:tr w:rsidR="0054416F">
                                      <w:tc>
                                        <w:tcPr>
                                          <w:tcW w:w="5000" w:type="pct"/>
                                          <w:vAlign w:val="center"/>
                                          <w:hideMark/>
                                        </w:tcPr>
                                        <w:p w:rsidR="0054416F" w:rsidRDefault="0054416F">
                                          <w:pPr>
                                            <w:pStyle w:val="NormalWeb"/>
                                            <w:spacing w:before="0" w:beforeAutospacing="0" w:after="0" w:afterAutospacing="0" w:line="330" w:lineRule="exact"/>
                                          </w:pPr>
                                          <w:r>
                                            <w:rPr>
                                              <w:rStyle w:val="lev"/>
                                              <w:rFonts w:ascii="Arial" w:hAnsi="Arial" w:cs="Arial"/>
                                              <w:color w:val="393939"/>
                                              <w:lang w:eastAsia="en-US"/>
                                            </w:rPr>
                                            <w:t>Congés payés :</w:t>
                                          </w:r>
                                        </w:p>
                                        <w:p w:rsidR="0054416F" w:rsidRDefault="0054416F">
                                          <w:pPr>
                                            <w:pStyle w:val="NormalWeb"/>
                                            <w:spacing w:before="0" w:beforeAutospacing="0" w:after="0" w:afterAutospacing="0" w:line="330" w:lineRule="exact"/>
                                          </w:pPr>
                                          <w:r>
                                            <w:rPr>
                                              <w:rStyle w:val="lev"/>
                                              <w:rFonts w:ascii="Arial" w:hAnsi="Arial" w:cs="Arial"/>
                                              <w:color w:val="393939"/>
                                              <w:lang w:eastAsia="en-US"/>
                                            </w:rPr>
                                            <w:t>Le Gouvernement apporte un soutien supplémentaire aux entreprises fermées du fait de la crise sanitaire.</w:t>
                                          </w:r>
                                        </w:p>
                                      </w:tc>
                                    </w:tr>
                                  </w:tbl>
                                  <w:p w:rsidR="0054416F" w:rsidRDefault="0054416F">
                                    <w:pPr>
                                      <w:rPr>
                                        <w:rFonts w:eastAsia="Times New Roman"/>
                                        <w:sz w:val="20"/>
                                        <w:szCs w:val="20"/>
                                      </w:rPr>
                                    </w:pPr>
                                  </w:p>
                                </w:tc>
                              </w:tr>
                            </w:tbl>
                            <w:p w:rsidR="0054416F" w:rsidRDefault="0054416F">
                              <w:pPr>
                                <w:rPr>
                                  <w:rFonts w:eastAsia="Times New Roman"/>
                                  <w:sz w:val="20"/>
                                  <w:szCs w:val="20"/>
                                </w:rPr>
                              </w:pPr>
                            </w:p>
                          </w:tc>
                          <w:tc>
                            <w:tcPr>
                              <w:tcW w:w="1900" w:type="pct"/>
                              <w:hideMark/>
                            </w:tcPr>
                            <w:tbl>
                              <w:tblPr>
                                <w:tblW w:w="5000" w:type="pct"/>
                                <w:tblCellMar>
                                  <w:left w:w="0" w:type="dxa"/>
                                  <w:right w:w="0" w:type="dxa"/>
                                </w:tblCellMar>
                                <w:tblLook w:val="04A0" w:firstRow="1" w:lastRow="0" w:firstColumn="1" w:lastColumn="0" w:noHBand="0" w:noVBand="1"/>
                              </w:tblPr>
                              <w:tblGrid>
                                <w:gridCol w:w="1911"/>
                              </w:tblGrid>
                              <w:tr w:rsidR="0054416F">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54416F">
                                      <w:trPr>
                                        <w:trHeight w:val="300"/>
                                        <w:jc w:val="center"/>
                                      </w:trPr>
                                      <w:tc>
                                        <w:tcPr>
                                          <w:tcW w:w="0" w:type="auto"/>
                                          <w:vAlign w:val="center"/>
                                          <w:hideMark/>
                                        </w:tcPr>
                                        <w:p w:rsidR="0054416F" w:rsidRDefault="0054416F">
                                          <w:pPr>
                                            <w:spacing w:line="300" w:lineRule="exact"/>
                                          </w:pPr>
                                          <w:r>
                                            <w:rPr>
                                              <w:sz w:val="30"/>
                                              <w:szCs w:val="30"/>
                                              <w:lang w:eastAsia="en-US"/>
                                            </w:rPr>
                                            <w:t xml:space="preserve">  </w:t>
                                          </w:r>
                                        </w:p>
                                      </w:tc>
                                    </w:tr>
                                  </w:tbl>
                                  <w:p w:rsidR="0054416F" w:rsidRDefault="0054416F">
                                    <w:pPr>
                                      <w:jc w:val="cente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r w:rsidR="0054416F" w:rsidTr="0054416F">
        <w:tc>
          <w:tcPr>
            <w:tcW w:w="0" w:type="auto"/>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54416F">
              <w:tc>
                <w:tcPr>
                  <w:tcW w:w="150" w:type="dxa"/>
                  <w:shd w:val="clear" w:color="auto" w:fill="FFFFFF"/>
                  <w:vAlign w:val="center"/>
                  <w:hideMark/>
                </w:tcPr>
                <w:p w:rsidR="0054416F" w:rsidRDefault="0054416F">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1"/>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54416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1"/>
                              </w:tblGrid>
                              <w:tr w:rsidR="0054416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11"/>
                                    </w:tblGrid>
                                    <w:tr w:rsidR="0054416F">
                                      <w:tc>
                                        <w:tcPr>
                                          <w:tcW w:w="0" w:type="auto"/>
                                          <w:vAlign w:val="center"/>
                                          <w:hideMark/>
                                        </w:tcPr>
                                        <w:p w:rsidR="0054416F" w:rsidRDefault="0054416F">
                                          <w:pPr>
                                            <w:spacing w:line="252" w:lineRule="auto"/>
                                            <w:jc w:val="both"/>
                                          </w:pPr>
                                          <w:r>
                                            <w:rPr>
                                              <w:rFonts w:ascii="Arial" w:hAnsi="Arial" w:cs="Arial"/>
                                              <w:b/>
                                              <w:bCs/>
                                              <w:sz w:val="21"/>
                                              <w:szCs w:val="21"/>
                                              <w:lang w:eastAsia="en-US"/>
                                            </w:rPr>
                                            <w:t>A l’occasion d’une réunion en visioconférence, Elisabeth Borne, Ministre du Travail, de l’Emploi et de l’Insertion, et Alain Griset, Ministre délégué chargé des Petites et Moyennes Entreprises, ont annoncé aux organisations syndicales et patronales interprofessionnelles et aux organisations professionnelles de l’hôtellerie-restauration que l’Etat prendrait en charge 10 jours de congés payés pour les entreprises les plus lourdement impactées par la crise sanitaire.</w:t>
                                          </w:r>
                                        </w:p>
                                        <w:p w:rsidR="0054416F" w:rsidRDefault="0054416F">
                                          <w:pPr>
                                            <w:pStyle w:val="NormalWeb"/>
                                            <w:spacing w:before="0" w:beforeAutospacing="0" w:after="0" w:afterAutospacing="0" w:line="330" w:lineRule="exact"/>
                                          </w:pPr>
                                          <w:r>
                                            <w:rPr>
                                              <w:rFonts w:ascii="Arial" w:hAnsi="Arial" w:cs="Arial"/>
                                              <w:color w:val="000000"/>
                                              <w:sz w:val="21"/>
                                              <w:szCs w:val="21"/>
                                              <w:lang w:eastAsia="en-US"/>
                                            </w:rPr>
                                            <w:t> </w:t>
                                          </w:r>
                                        </w:p>
                                        <w:p w:rsidR="0054416F" w:rsidRDefault="0054416F">
                                          <w:pPr>
                                            <w:spacing w:line="252" w:lineRule="auto"/>
                                            <w:jc w:val="both"/>
                                          </w:pPr>
                                          <w:r>
                                            <w:rPr>
                                              <w:rFonts w:ascii="Arial" w:hAnsi="Arial" w:cs="Arial"/>
                                              <w:sz w:val="21"/>
                                              <w:szCs w:val="21"/>
                                              <w:lang w:eastAsia="en-US"/>
                                            </w:rPr>
                                            <w:t xml:space="preserve">Afin d’apporter un soutien aux professionnels qui rencontrent des difficultés pour faire face aux congés payés accumulés en période d’activité partielle, le Gouvernement a retenu </w:t>
                                          </w:r>
                                          <w:r>
                                            <w:rPr>
                                              <w:rFonts w:ascii="Arial" w:hAnsi="Arial" w:cs="Arial"/>
                                              <w:b/>
                                              <w:bCs/>
                                              <w:sz w:val="21"/>
                                              <w:szCs w:val="21"/>
                                              <w:lang w:eastAsia="en-US"/>
                                            </w:rPr>
                                            <w:t>une aide économique ponctuelle et non reconductible ciblée sur les secteurs très impactés, avec des fermetures sur une grande partie de l’année 2020</w:t>
                                          </w:r>
                                          <w:r>
                                            <w:rPr>
                                              <w:rFonts w:ascii="Arial" w:hAnsi="Arial" w:cs="Arial"/>
                                              <w:sz w:val="21"/>
                                              <w:szCs w:val="21"/>
                                              <w:lang w:eastAsia="en-US"/>
                                            </w:rPr>
                                            <w:t xml:space="preserve">. </w:t>
                                          </w:r>
                                        </w:p>
                                        <w:p w:rsidR="0054416F" w:rsidRDefault="0054416F">
                                          <w:pPr>
                                            <w:spacing w:line="252" w:lineRule="auto"/>
                                            <w:jc w:val="both"/>
                                          </w:pPr>
                                          <w:r>
                                            <w:rPr>
                                              <w:rFonts w:ascii="Arial" w:hAnsi="Arial" w:cs="Arial"/>
                                              <w:sz w:val="21"/>
                                              <w:szCs w:val="21"/>
                                              <w:lang w:eastAsia="en-US"/>
                                            </w:rPr>
                                            <w:t> </w:t>
                                          </w:r>
                                        </w:p>
                                        <w:p w:rsidR="0054416F" w:rsidRDefault="0054416F">
                                          <w:pPr>
                                            <w:spacing w:line="252" w:lineRule="auto"/>
                                            <w:jc w:val="both"/>
                                          </w:pPr>
                                          <w:r>
                                            <w:rPr>
                                              <w:rFonts w:ascii="Arial" w:hAnsi="Arial" w:cs="Arial"/>
                                              <w:sz w:val="21"/>
                                              <w:szCs w:val="21"/>
                                              <w:lang w:eastAsia="en-US"/>
                                            </w:rPr>
                                            <w:t xml:space="preserve">Pour pouvoir bénéficier de cette aide, les entreprises devront répondre à l’un ou l’autre des </w:t>
                                          </w:r>
                                          <w:r>
                                            <w:rPr>
                                              <w:rFonts w:ascii="Arial" w:hAnsi="Arial" w:cs="Arial"/>
                                              <w:b/>
                                              <w:bCs/>
                                              <w:sz w:val="21"/>
                                              <w:szCs w:val="21"/>
                                              <w:lang w:eastAsia="en-US"/>
                                            </w:rPr>
                                            <w:t>critères d’éligibilité suivants</w:t>
                                          </w:r>
                                          <w:r>
                                            <w:rPr>
                                              <w:rFonts w:ascii="Arial" w:hAnsi="Arial" w:cs="Arial"/>
                                              <w:sz w:val="21"/>
                                              <w:szCs w:val="21"/>
                                              <w:lang w:eastAsia="en-US"/>
                                            </w:rPr>
                                            <w:t> :</w:t>
                                          </w:r>
                                        </w:p>
                                        <w:p w:rsidR="0054416F" w:rsidRDefault="0054416F">
                                          <w:pPr>
                                            <w:spacing w:line="252" w:lineRule="auto"/>
                                            <w:jc w:val="both"/>
                                          </w:pPr>
                                          <w:r>
                                            <w:rPr>
                                              <w:rFonts w:ascii="Arial" w:hAnsi="Arial" w:cs="Arial"/>
                                              <w:sz w:val="21"/>
                                              <w:szCs w:val="21"/>
                                              <w:lang w:eastAsia="en-US"/>
                                            </w:rPr>
                                            <w:t> </w:t>
                                          </w:r>
                                        </w:p>
                                        <w:p w:rsidR="0054416F" w:rsidRDefault="0054416F" w:rsidP="004609AC">
                                          <w:pPr>
                                            <w:pStyle w:val="Paragraphedeliste"/>
                                            <w:numPr>
                                              <w:ilvl w:val="0"/>
                                              <w:numId w:val="1"/>
                                            </w:numPr>
                                            <w:jc w:val="both"/>
                                          </w:pPr>
                                          <w:r>
                                            <w:rPr>
                                              <w:rFonts w:ascii="Arial" w:hAnsi="Arial" w:cs="Arial"/>
                                              <w:b/>
                                              <w:bCs/>
                                              <w:sz w:val="21"/>
                                              <w:szCs w:val="21"/>
                                            </w:rPr>
                                            <w:t>L’activité a été interrompue partiellement ou totalement pendant une durée totale d’au moins 140 jours depuis le 1er janvier 2020</w:t>
                                          </w:r>
                                          <w:r>
                                            <w:rPr>
                                              <w:rFonts w:ascii="Arial" w:hAnsi="Arial" w:cs="Arial"/>
                                              <w:sz w:val="21"/>
                                              <w:szCs w:val="21"/>
                                            </w:rPr>
                                            <w:t xml:space="preserve"> ;</w:t>
                                          </w:r>
                                        </w:p>
                                        <w:p w:rsidR="0054416F" w:rsidRDefault="0054416F">
                                          <w:pPr>
                                            <w:pStyle w:val="Paragraphedeliste"/>
                                            <w:jc w:val="both"/>
                                          </w:pPr>
                                          <w:r>
                                            <w:rPr>
                                              <w:rFonts w:ascii="Arial" w:hAnsi="Arial" w:cs="Arial"/>
                                              <w:sz w:val="21"/>
                                              <w:szCs w:val="21"/>
                                            </w:rPr>
                                            <w:t> </w:t>
                                          </w:r>
                                        </w:p>
                                        <w:p w:rsidR="0054416F" w:rsidRDefault="0054416F" w:rsidP="004609AC">
                                          <w:pPr>
                                            <w:pStyle w:val="Paragraphedeliste"/>
                                            <w:numPr>
                                              <w:ilvl w:val="0"/>
                                              <w:numId w:val="1"/>
                                            </w:numPr>
                                            <w:jc w:val="both"/>
                                          </w:pPr>
                                          <w:r>
                                            <w:rPr>
                                              <w:rFonts w:ascii="Arial" w:hAnsi="Arial" w:cs="Arial"/>
                                              <w:b/>
                                              <w:bCs/>
                                              <w:sz w:val="21"/>
                                              <w:szCs w:val="21"/>
                                            </w:rPr>
                                            <w:t>L’activité a été réduite de plus de 90 %</w:t>
                                          </w:r>
                                          <w:r>
                                            <w:rPr>
                                              <w:rFonts w:ascii="Arial" w:hAnsi="Arial" w:cs="Arial"/>
                                              <w:sz w:val="21"/>
                                              <w:szCs w:val="21"/>
                                            </w:rPr>
                                            <w:t xml:space="preserve"> (baisse du chiffre d’affaires) pendant les périodes en 2020 où l’état d’urgence sanitaire était déclaré. </w:t>
                                          </w:r>
                                        </w:p>
                                        <w:p w:rsidR="0054416F" w:rsidRDefault="0054416F">
                                          <w:pPr>
                                            <w:spacing w:line="252" w:lineRule="auto"/>
                                            <w:jc w:val="both"/>
                                          </w:pPr>
                                          <w:r>
                                            <w:rPr>
                                              <w:rFonts w:ascii="Arial" w:hAnsi="Arial" w:cs="Arial"/>
                                              <w:b/>
                                              <w:bCs/>
                                              <w:sz w:val="21"/>
                                              <w:szCs w:val="21"/>
                                              <w:lang w:eastAsia="en-US"/>
                                            </w:rPr>
                                            <w:t xml:space="preserve">Ces deux seuils permettent de rendre notamment éligibles les cafés et restaurants mais également les hôtels </w:t>
                                          </w:r>
                                          <w:r>
                                            <w:rPr>
                                              <w:rFonts w:ascii="Arial" w:hAnsi="Arial" w:cs="Arial"/>
                                              <w:sz w:val="21"/>
                                              <w:szCs w:val="21"/>
                                              <w:lang w:eastAsia="en-US"/>
                                            </w:rPr>
                                            <w:t xml:space="preserve">qui n’ont pas été administrativement fermés mais qui ont été </w:t>
                                          </w:r>
                                          <w:r>
                                            <w:rPr>
                                              <w:rFonts w:ascii="Arial" w:hAnsi="Arial" w:cs="Arial"/>
                                              <w:sz w:val="21"/>
                                              <w:szCs w:val="21"/>
                                              <w:lang w:eastAsia="en-US"/>
                                            </w:rPr>
                                            <w:lastRenderedPageBreak/>
                                            <w:t xml:space="preserve">contraints à la fermeture par manque de clients dans les périodes de restriction des déplacements. </w:t>
                                          </w:r>
                                        </w:p>
                                        <w:p w:rsidR="0054416F" w:rsidRDefault="0054416F">
                                          <w:pPr>
                                            <w:spacing w:line="252" w:lineRule="auto"/>
                                            <w:jc w:val="both"/>
                                          </w:pPr>
                                          <w:r>
                                            <w:rPr>
                                              <w:rFonts w:ascii="Arial" w:hAnsi="Arial" w:cs="Arial"/>
                                              <w:sz w:val="21"/>
                                              <w:szCs w:val="21"/>
                                              <w:lang w:eastAsia="en-US"/>
                                            </w:rPr>
                                            <w:t> </w:t>
                                          </w:r>
                                        </w:p>
                                        <w:p w:rsidR="0054416F" w:rsidRDefault="0054416F">
                                          <w:pPr>
                                            <w:spacing w:line="252" w:lineRule="auto"/>
                                            <w:jc w:val="both"/>
                                          </w:pPr>
                                          <w:r>
                                            <w:rPr>
                                              <w:rFonts w:ascii="Arial" w:hAnsi="Arial" w:cs="Arial"/>
                                              <w:b/>
                                              <w:bCs/>
                                              <w:sz w:val="21"/>
                                              <w:szCs w:val="21"/>
                                              <w:lang w:eastAsia="en-US"/>
                                            </w:rPr>
                                            <w:t xml:space="preserve">Elle concernera aussi les secteurs les plus touchés par les fermetures administratives et les conséquences de la crise </w:t>
                                          </w:r>
                                          <w:r>
                                            <w:rPr>
                                              <w:rFonts w:ascii="Arial" w:hAnsi="Arial" w:cs="Arial"/>
                                              <w:sz w:val="21"/>
                                              <w:szCs w:val="21"/>
                                              <w:lang w:eastAsia="en-US"/>
                                            </w:rPr>
                                            <w:t>comme par exemple l’événementiel, les discothèques ou encore les salles de sport, dès lors qu’ils rentrent également dans ces critères.</w:t>
                                          </w:r>
                                        </w:p>
                                        <w:p w:rsidR="0054416F" w:rsidRDefault="0054416F">
                                          <w:pPr>
                                            <w:spacing w:line="252" w:lineRule="auto"/>
                                            <w:jc w:val="both"/>
                                          </w:pPr>
                                          <w:r>
                                            <w:rPr>
                                              <w:rFonts w:ascii="Arial" w:hAnsi="Arial" w:cs="Arial"/>
                                              <w:sz w:val="21"/>
                                              <w:szCs w:val="21"/>
                                              <w:lang w:eastAsia="en-US"/>
                                            </w:rPr>
                                            <w:t> </w:t>
                                          </w:r>
                                        </w:p>
                                        <w:p w:rsidR="0054416F" w:rsidRDefault="0054416F">
                                          <w:pPr>
                                            <w:spacing w:line="252" w:lineRule="auto"/>
                                            <w:jc w:val="both"/>
                                          </w:pPr>
                                          <w:r>
                                            <w:rPr>
                                              <w:rFonts w:ascii="Arial" w:hAnsi="Arial" w:cs="Arial"/>
                                              <w:b/>
                                              <w:bCs/>
                                              <w:sz w:val="21"/>
                                              <w:szCs w:val="21"/>
                                              <w:lang w:eastAsia="en-US"/>
                                            </w:rPr>
                                            <w:t>Cette aide est limitée à 10 jours de congés payés</w:t>
                                          </w:r>
                                          <w:r>
                                            <w:rPr>
                                              <w:rFonts w:ascii="Arial" w:hAnsi="Arial" w:cs="Arial"/>
                                              <w:sz w:val="21"/>
                                              <w:szCs w:val="21"/>
                                              <w:lang w:eastAsia="en-US"/>
                                            </w:rPr>
                                            <w:t>. Elle sera versée en janvier 2021 sur la base de</w:t>
                                          </w:r>
                                          <w:r>
                                            <w:rPr>
                                              <w:rFonts w:ascii="Arial" w:hAnsi="Arial" w:cs="Arial"/>
                                              <w:b/>
                                              <w:bCs/>
                                              <w:sz w:val="21"/>
                                              <w:szCs w:val="21"/>
                                              <w:lang w:eastAsia="en-US"/>
                                            </w:rPr>
                                            <w:t xml:space="preserve"> jours imposés au titre de l’année 2019-2020</w:t>
                                          </w:r>
                                          <w:r>
                                            <w:rPr>
                                              <w:rFonts w:ascii="Arial" w:hAnsi="Arial" w:cs="Arial"/>
                                              <w:sz w:val="21"/>
                                              <w:szCs w:val="21"/>
                                              <w:lang w:eastAsia="en-US"/>
                                            </w:rPr>
                                            <w:t xml:space="preserve"> (généralement 5) et de</w:t>
                                          </w:r>
                                          <w:r>
                                            <w:rPr>
                                              <w:rFonts w:ascii="Arial" w:hAnsi="Arial" w:cs="Arial"/>
                                              <w:b/>
                                              <w:bCs/>
                                              <w:sz w:val="21"/>
                                              <w:szCs w:val="21"/>
                                              <w:lang w:eastAsia="en-US"/>
                                            </w:rPr>
                                            <w:t xml:space="preserve"> jours pris en anticipation avec l’accord du salarié</w:t>
                                          </w:r>
                                          <w:r>
                                            <w:rPr>
                                              <w:rFonts w:ascii="Arial" w:hAnsi="Arial" w:cs="Arial"/>
                                              <w:sz w:val="21"/>
                                              <w:szCs w:val="21"/>
                                              <w:lang w:eastAsia="en-US"/>
                                            </w:rPr>
                                            <w:t xml:space="preserve"> </w:t>
                                          </w:r>
                                          <w:r>
                                            <w:rPr>
                                              <w:rFonts w:ascii="Arial" w:hAnsi="Arial" w:cs="Arial"/>
                                              <w:b/>
                                              <w:bCs/>
                                              <w:sz w:val="21"/>
                                              <w:szCs w:val="21"/>
                                              <w:lang w:eastAsia="en-US"/>
                                            </w:rPr>
                                            <w:t>au titre de l’année 2020-2021</w:t>
                                          </w:r>
                                          <w:r>
                                            <w:rPr>
                                              <w:rFonts w:ascii="Arial" w:hAnsi="Arial" w:cs="Arial"/>
                                              <w:sz w:val="21"/>
                                              <w:szCs w:val="21"/>
                                              <w:lang w:eastAsia="en-US"/>
                                            </w:rPr>
                                            <w:t>. Cela nécessite pour les employeurs de s’organiser dès à présent pour respecter le délai de prévenance de 30 jours et réunir le CSE quand cela est nécessaire.</w:t>
                                          </w:r>
                                        </w:p>
                                        <w:p w:rsidR="0054416F" w:rsidRDefault="0054416F">
                                          <w:pPr>
                                            <w:spacing w:line="252" w:lineRule="auto"/>
                                            <w:jc w:val="both"/>
                                          </w:pPr>
                                          <w:r>
                                            <w:rPr>
                                              <w:rFonts w:ascii="Arial" w:hAnsi="Arial" w:cs="Arial"/>
                                              <w:sz w:val="21"/>
                                              <w:szCs w:val="21"/>
                                              <w:lang w:eastAsia="en-US"/>
                                            </w:rPr>
                                            <w:t> </w:t>
                                          </w:r>
                                        </w:p>
                                        <w:p w:rsidR="0054416F" w:rsidRDefault="0054416F">
                                          <w:pPr>
                                            <w:spacing w:line="252" w:lineRule="auto"/>
                                            <w:jc w:val="both"/>
                                          </w:pPr>
                                          <w:r>
                                            <w:rPr>
                                              <w:rFonts w:ascii="Arial" w:hAnsi="Arial" w:cs="Arial"/>
                                              <w:sz w:val="21"/>
                                              <w:szCs w:val="21"/>
                                              <w:lang w:eastAsia="en-US"/>
                                            </w:rPr>
                                            <w:t xml:space="preserve">Les congés payés devront nécessairement être pris </w:t>
                                          </w:r>
                                          <w:r>
                                            <w:rPr>
                                              <w:rFonts w:ascii="Arial" w:hAnsi="Arial" w:cs="Arial"/>
                                              <w:b/>
                                              <w:bCs/>
                                              <w:sz w:val="21"/>
                                              <w:szCs w:val="21"/>
                                              <w:lang w:eastAsia="en-US"/>
                                            </w:rPr>
                                            <w:t>entre le 1er et le 20 janvier 2021</w:t>
                                          </w:r>
                                          <w:r>
                                            <w:rPr>
                                              <w:rFonts w:ascii="Arial" w:hAnsi="Arial" w:cs="Arial"/>
                                              <w:sz w:val="21"/>
                                              <w:szCs w:val="21"/>
                                              <w:lang w:eastAsia="en-US"/>
                                            </w:rPr>
                                            <w:t>, durant une période d’activité partielle</w:t>
                                          </w:r>
                                          <w:r>
                                            <w:rPr>
                                              <w:rFonts w:ascii="Arial" w:hAnsi="Arial" w:cs="Arial"/>
                                              <w:sz w:val="21"/>
                                              <w:szCs w:val="21"/>
                                              <w:lang w:eastAsia="en-US"/>
                                            </w:rPr>
                                            <w:t xml:space="preserve">. </w:t>
                                          </w:r>
                                          <w:bookmarkStart w:id="0" w:name="_GoBack"/>
                                          <w:bookmarkEnd w:id="0"/>
                                          <w:r>
                                            <w:rPr>
                                              <w:rFonts w:ascii="Arial" w:hAnsi="Arial" w:cs="Arial"/>
                                              <w:sz w:val="21"/>
                                              <w:szCs w:val="21"/>
                                              <w:lang w:eastAsia="en-US"/>
                                            </w:rPr>
                                            <w:t>Pour le versement de cette aide, le Gouvernement utilisera les circuits de paiement de l’activité partielle via l’Agence de services et de paiement (ASP).</w:t>
                                          </w:r>
                                        </w:p>
                                        <w:p w:rsidR="0054416F" w:rsidRDefault="0054416F">
                                          <w:pPr>
                                            <w:spacing w:line="252" w:lineRule="auto"/>
                                            <w:jc w:val="both"/>
                                          </w:pPr>
                                          <w:r>
                                            <w:rPr>
                                              <w:rFonts w:ascii="Arial" w:hAnsi="Arial" w:cs="Arial"/>
                                              <w:sz w:val="21"/>
                                              <w:szCs w:val="21"/>
                                              <w:lang w:eastAsia="en-US"/>
                                            </w:rPr>
                                            <w:t> </w:t>
                                          </w:r>
                                        </w:p>
                                        <w:p w:rsidR="0054416F" w:rsidRDefault="0054416F">
                                          <w:pPr>
                                            <w:spacing w:line="252" w:lineRule="auto"/>
                                            <w:jc w:val="both"/>
                                          </w:pPr>
                                          <w:r>
                                            <w:rPr>
                                              <w:rFonts w:ascii="Arial" w:hAnsi="Arial" w:cs="Arial"/>
                                              <w:sz w:val="21"/>
                                              <w:szCs w:val="21"/>
                                              <w:lang w:eastAsia="en-US"/>
                                            </w:rPr>
                                            <w:t xml:space="preserve">La ministre du Travail, de l’Emploi et de l’Insertion a aussi évoqué avec les professionnels le report de la cinquième semaine de congés payés comme une solution que peuvent mettre en œuvre les entreprises soit par application d’un accord de branche soit par un accord d’entreprise. </w:t>
                                          </w:r>
                                        </w:p>
                                        <w:p w:rsidR="0054416F" w:rsidRDefault="0054416F">
                                          <w:pPr>
                                            <w:spacing w:line="252" w:lineRule="auto"/>
                                            <w:jc w:val="both"/>
                                          </w:pPr>
                                          <w:r>
                                            <w:rPr>
                                              <w:rFonts w:ascii="Arial" w:hAnsi="Arial" w:cs="Arial"/>
                                              <w:sz w:val="21"/>
                                              <w:szCs w:val="21"/>
                                              <w:lang w:eastAsia="en-US"/>
                                            </w:rPr>
                                            <w:t> </w:t>
                                          </w:r>
                                        </w:p>
                                        <w:p w:rsidR="0054416F" w:rsidRDefault="0054416F">
                                          <w:pPr>
                                            <w:spacing w:line="252" w:lineRule="auto"/>
                                            <w:jc w:val="both"/>
                                          </w:pPr>
                                          <w:r>
                                            <w:rPr>
                                              <w:rFonts w:ascii="Arial" w:hAnsi="Arial" w:cs="Arial"/>
                                              <w:sz w:val="21"/>
                                              <w:szCs w:val="21"/>
                                              <w:lang w:eastAsia="en-US"/>
                                            </w:rPr>
                                            <w:t>« </w:t>
                                          </w:r>
                                          <w:r>
                                            <w:rPr>
                                              <w:rFonts w:ascii="Arial" w:hAnsi="Arial" w:cs="Arial"/>
                                              <w:i/>
                                              <w:iCs/>
                                              <w:sz w:val="21"/>
                                              <w:szCs w:val="21"/>
                                              <w:lang w:eastAsia="en-US"/>
                                            </w:rPr>
                                            <w:t>Nous avons entendu les inquiétudes exprimées par certains professionnels de l’hôtellerie-restauration. Cette aide permettra aux salariés d’exercer leurs droits à congés payés dans le respect du code du travail et aux entreprises des secteurs les plus impactés par la crise de solder une partie de ces congés payés sans en supporter la charge. Comme depuis le premier jour de la crise, notre mobilisation pour aider les entreprises à surmonter la crise est totale</w:t>
                                          </w:r>
                                          <w:r>
                                            <w:rPr>
                                              <w:rFonts w:ascii="Arial" w:hAnsi="Arial" w:cs="Arial"/>
                                              <w:sz w:val="21"/>
                                              <w:szCs w:val="21"/>
                                              <w:lang w:eastAsia="en-US"/>
                                            </w:rPr>
                                            <w:t xml:space="preserve"> », </w:t>
                                          </w:r>
                                          <w:r>
                                            <w:rPr>
                                              <w:rFonts w:ascii="Arial" w:hAnsi="Arial" w:cs="Arial"/>
                                              <w:b/>
                                              <w:bCs/>
                                              <w:sz w:val="21"/>
                                              <w:szCs w:val="21"/>
                                              <w:lang w:eastAsia="en-US"/>
                                            </w:rPr>
                                            <w:t>déclare Elisabeth Borne, Ministre du Travail, de l’Emploi et de l’Insertion.</w:t>
                                          </w:r>
                                        </w:p>
                                        <w:p w:rsidR="0054416F" w:rsidRDefault="0054416F">
                                          <w:pPr>
                                            <w:spacing w:line="252" w:lineRule="auto"/>
                                            <w:jc w:val="both"/>
                                          </w:pPr>
                                          <w:r>
                                            <w:rPr>
                                              <w:rFonts w:ascii="Arial" w:hAnsi="Arial" w:cs="Arial"/>
                                              <w:b/>
                                              <w:bCs/>
                                              <w:sz w:val="21"/>
                                              <w:szCs w:val="21"/>
                                              <w:lang w:eastAsia="en-US"/>
                                            </w:rPr>
                                            <w:t> </w:t>
                                          </w:r>
                                        </w:p>
                                        <w:p w:rsidR="0054416F" w:rsidRDefault="0054416F">
                                          <w:pPr>
                                            <w:spacing w:line="252" w:lineRule="auto"/>
                                            <w:jc w:val="both"/>
                                          </w:pPr>
                                          <w:r>
                                            <w:rPr>
                                              <w:rFonts w:ascii="Arial" w:hAnsi="Arial" w:cs="Arial"/>
                                              <w:i/>
                                              <w:iCs/>
                                              <w:sz w:val="21"/>
                                              <w:szCs w:val="21"/>
                                              <w:lang w:eastAsia="en-US"/>
                                            </w:rPr>
                                            <w:t xml:space="preserve">« La prise en charge de ces jours de congés payés confirme le soutien massif du Gouvernement à l’égard des entreprises les plus durement frappées par la situation sanitaire. Cette nouvelle mesure renforce le dispositif d’aides comme le fonds de solidarité ou encore l’activité partielle mis en place pour que ces entreprises puissent faire face au mieux à la période de fermeture. Depuis le début de cette crise, nous ne cessons d’adapter et faire évoluer les mesures d’accompagnement pour protéger au mieux les entreprises les plus en difficulté » </w:t>
                                          </w:r>
                                          <w:r>
                                            <w:rPr>
                                              <w:rFonts w:ascii="Arial" w:hAnsi="Arial" w:cs="Arial"/>
                                              <w:sz w:val="21"/>
                                              <w:szCs w:val="21"/>
                                              <w:lang w:eastAsia="en-US"/>
                                            </w:rPr>
                                            <w:t xml:space="preserve">explique </w:t>
                                          </w:r>
                                          <w:r>
                                            <w:rPr>
                                              <w:rFonts w:ascii="Arial" w:hAnsi="Arial" w:cs="Arial"/>
                                              <w:b/>
                                              <w:bCs/>
                                              <w:sz w:val="21"/>
                                              <w:szCs w:val="21"/>
                                              <w:lang w:eastAsia="en-US"/>
                                            </w:rPr>
                                            <w:t>Alain Griset, ministre délégué chargé des Petites et Moyennes Entreprises.</w:t>
                                          </w:r>
                                        </w:p>
                                      </w:tc>
                                    </w:tr>
                                  </w:tbl>
                                  <w:tbl>
                                    <w:tblPr>
                                      <w:tblW w:w="0" w:type="auto"/>
                                      <w:jc w:val="center"/>
                                      <w:tblCellMar>
                                        <w:left w:w="0" w:type="dxa"/>
                                        <w:right w:w="0" w:type="dxa"/>
                                      </w:tblCellMar>
                                      <w:tblLook w:val="04A0" w:firstRow="1" w:lastRow="0" w:firstColumn="1" w:lastColumn="0" w:noHBand="0" w:noVBand="1"/>
                                    </w:tblPr>
                                    <w:tblGrid>
                                      <w:gridCol w:w="59"/>
                                    </w:tblGrid>
                                    <w:tr w:rsidR="0054416F">
                                      <w:trPr>
                                        <w:trHeight w:val="150"/>
                                        <w:jc w:val="center"/>
                                      </w:trPr>
                                      <w:tc>
                                        <w:tcPr>
                                          <w:tcW w:w="0" w:type="auto"/>
                                          <w:vAlign w:val="center"/>
                                          <w:hideMark/>
                                        </w:tcPr>
                                        <w:p w:rsidR="0054416F" w:rsidRDefault="0054416F">
                                          <w:pPr>
                                            <w:spacing w:line="150" w:lineRule="exact"/>
                                          </w:pPr>
                                          <w:r>
                                            <w:rPr>
                                              <w:rFonts w:ascii="Arial" w:hAnsi="Arial" w:cs="Arial"/>
                                              <w:sz w:val="21"/>
                                              <w:szCs w:val="21"/>
                                              <w:lang w:eastAsia="en-US"/>
                                            </w:rPr>
                                            <w:lastRenderedPageBreak/>
                                            <w:t xml:space="preserve">  </w:t>
                                          </w:r>
                                        </w:p>
                                      </w:tc>
                                    </w:tr>
                                  </w:tbl>
                                  <w:p w:rsidR="0054416F" w:rsidRDefault="0054416F">
                                    <w:pPr>
                                      <w:jc w:val="cente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rsidP="0054416F">
      <w:pPr>
        <w:spacing w:line="252" w:lineRule="auto"/>
      </w:pPr>
      <w:r>
        <w:rPr>
          <w:lang w:eastAsia="en-US"/>
        </w:rPr>
        <w:lastRenderedPageBreak/>
        <w:t> </w:t>
      </w:r>
    </w:p>
    <w:tbl>
      <w:tblPr>
        <w:tblW w:w="5000" w:type="pct"/>
        <w:tblCellMar>
          <w:left w:w="0" w:type="dxa"/>
          <w:right w:w="0" w:type="dxa"/>
        </w:tblCellMar>
        <w:tblLook w:val="04A0" w:firstRow="1" w:lastRow="0" w:firstColumn="1" w:lastColumn="0" w:noHBand="0" w:noVBand="1"/>
      </w:tblPr>
      <w:tblGrid>
        <w:gridCol w:w="9072"/>
      </w:tblGrid>
      <w:tr w:rsidR="0054416F" w:rsidTr="0054416F">
        <w:tc>
          <w:tcPr>
            <w:tcW w:w="0" w:type="auto"/>
            <w:vAlign w:val="center"/>
            <w:hideMark/>
          </w:tcPr>
          <w:tbl>
            <w:tblPr>
              <w:tblW w:w="0" w:type="auto"/>
              <w:tblCellMar>
                <w:left w:w="0" w:type="dxa"/>
                <w:right w:w="0" w:type="dxa"/>
              </w:tblCellMar>
              <w:tblLook w:val="04A0" w:firstRow="1" w:lastRow="0" w:firstColumn="1" w:lastColumn="0" w:noHBand="0" w:noVBand="1"/>
            </w:tblPr>
            <w:tblGrid>
              <w:gridCol w:w="125"/>
              <w:gridCol w:w="8823"/>
              <w:gridCol w:w="124"/>
            </w:tblGrid>
            <w:tr w:rsidR="0054416F">
              <w:tc>
                <w:tcPr>
                  <w:tcW w:w="150" w:type="dxa"/>
                  <w:shd w:val="clear" w:color="auto" w:fill="FFFFFF"/>
                  <w:vAlign w:val="center"/>
                  <w:hideMark/>
                </w:tcPr>
                <w:p w:rsidR="0054416F" w:rsidRDefault="0054416F"/>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3"/>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5"/>
                          <w:gridCol w:w="3298"/>
                        </w:tblGrid>
                        <w:tr w:rsidR="0054416F">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5"/>
                              </w:tblGrid>
                              <w:tr w:rsidR="0054416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5"/>
                                    </w:tblGrid>
                                    <w:tr w:rsidR="0054416F">
                                      <w:tc>
                                        <w:tcPr>
                                          <w:tcW w:w="0" w:type="auto"/>
                                          <w:vAlign w:val="center"/>
                                          <w:hideMark/>
                                        </w:tcPr>
                                        <w:p w:rsidR="0054416F" w:rsidRDefault="0054416F">
                                          <w:pPr>
                                            <w:pStyle w:val="NormalWeb"/>
                                            <w:spacing w:before="0" w:beforeAutospacing="0" w:after="0" w:afterAutospacing="0" w:line="330" w:lineRule="exact"/>
                                          </w:pPr>
                                          <w:r>
                                            <w:rPr>
                                              <w:rStyle w:val="lev"/>
                                              <w:rFonts w:ascii="Arial" w:hAnsi="Arial" w:cs="Arial"/>
                                              <w:color w:val="000000"/>
                                              <w:sz w:val="18"/>
                                              <w:szCs w:val="18"/>
                                              <w:lang w:eastAsia="en-US"/>
                                            </w:rPr>
                                            <w:t>Contact presse :</w:t>
                                          </w:r>
                                        </w:p>
                                        <w:p w:rsidR="0054416F" w:rsidRDefault="0054416F">
                                          <w:pPr>
                                            <w:pStyle w:val="NormalWeb"/>
                                            <w:spacing w:before="0" w:beforeAutospacing="0" w:after="0" w:afterAutospacing="0" w:line="330" w:lineRule="exact"/>
                                          </w:pPr>
                                          <w:r>
                                            <w:rPr>
                                              <w:rStyle w:val="lev"/>
                                              <w:rFonts w:ascii="Arial" w:hAnsi="Arial" w:cs="Arial"/>
                                              <w:color w:val="000000"/>
                                              <w:sz w:val="18"/>
                                              <w:szCs w:val="18"/>
                                              <w:lang w:eastAsia="en-US"/>
                                            </w:rPr>
                                            <w:t>Ministère du Travail, de l'Emploi et de l'Insertion </w:t>
                                          </w:r>
                                        </w:p>
                                        <w:p w:rsidR="0054416F" w:rsidRDefault="0054416F">
                                          <w:pPr>
                                            <w:pStyle w:val="NormalWeb"/>
                                            <w:spacing w:before="0" w:beforeAutospacing="0" w:after="0" w:afterAutospacing="0" w:line="330" w:lineRule="exact"/>
                                          </w:pPr>
                                          <w:r>
                                            <w:rPr>
                                              <w:rStyle w:val="lev"/>
                                              <w:rFonts w:ascii="Arial" w:hAnsi="Arial" w:cs="Arial"/>
                                              <w:color w:val="000000"/>
                                              <w:sz w:val="18"/>
                                              <w:szCs w:val="18"/>
                                              <w:lang w:eastAsia="en-US"/>
                                            </w:rPr>
                                            <w:t>Cabinet d’Elisabeth Borne</w:t>
                                          </w:r>
                                        </w:p>
                                        <w:p w:rsidR="0054416F" w:rsidRDefault="0054416F">
                                          <w:pPr>
                                            <w:pStyle w:val="NormalWeb"/>
                                            <w:spacing w:before="0" w:beforeAutospacing="0" w:after="0" w:afterAutospacing="0" w:line="330" w:lineRule="exact"/>
                                          </w:pPr>
                                          <w:r>
                                            <w:rPr>
                                              <w:rFonts w:ascii="Arial" w:hAnsi="Arial" w:cs="Arial"/>
                                              <w:color w:val="000000"/>
                                              <w:sz w:val="18"/>
                                              <w:szCs w:val="18"/>
                                              <w:lang w:eastAsia="en-US"/>
                                            </w:rPr>
                                            <w:t>Tél : 01 49 55 32 21 </w:t>
                                          </w:r>
                                        </w:p>
                                        <w:p w:rsidR="0054416F" w:rsidRDefault="0054416F">
                                          <w:pPr>
                                            <w:pStyle w:val="NormalWeb"/>
                                            <w:spacing w:before="0" w:beforeAutospacing="0" w:after="0" w:afterAutospacing="0" w:line="330" w:lineRule="exact"/>
                                          </w:pPr>
                                          <w:r>
                                            <w:rPr>
                                              <w:rFonts w:ascii="Arial" w:hAnsi="Arial" w:cs="Arial"/>
                                              <w:color w:val="000000"/>
                                              <w:sz w:val="18"/>
                                              <w:szCs w:val="18"/>
                                              <w:lang w:eastAsia="en-US"/>
                                            </w:rPr>
                                            <w:t>Mél :</w:t>
                                          </w:r>
                                          <w:r>
                                            <w:rPr>
                                              <w:rFonts w:ascii="Arial" w:hAnsi="Arial" w:cs="Arial"/>
                                              <w:color w:val="393939"/>
                                              <w:sz w:val="18"/>
                                              <w:szCs w:val="18"/>
                                              <w:lang w:eastAsia="en-US"/>
                                            </w:rPr>
                                            <w:t xml:space="preserve"> </w:t>
                                          </w:r>
                                          <w:hyperlink r:id="rId7" w:history="1">
                                            <w:r>
                                              <w:rPr>
                                                <w:rStyle w:val="Lienhypertexte"/>
                                                <w:rFonts w:ascii="Arial" w:hAnsi="Arial" w:cs="Arial"/>
                                                <w:sz w:val="18"/>
                                                <w:szCs w:val="18"/>
                                                <w:lang w:eastAsia="en-US"/>
                                              </w:rPr>
                                              <w:t>sec.presse.travail@cab.travail.gouv.fr</w:t>
                                            </w:r>
                                          </w:hyperlink>
                                        </w:p>
                                        <w:p w:rsidR="0054416F" w:rsidRDefault="0054416F">
                                          <w:pPr>
                                            <w:pStyle w:val="NormalWeb"/>
                                            <w:spacing w:before="0" w:beforeAutospacing="0" w:after="0" w:afterAutospacing="0" w:line="330" w:lineRule="exact"/>
                                          </w:pPr>
                                          <w:r>
                                            <w:rPr>
                                              <w:lang w:eastAsia="en-US"/>
                                            </w:rPr>
                                            <w:t> </w:t>
                                          </w:r>
                                        </w:p>
                                        <w:p w:rsidR="0054416F" w:rsidRDefault="0054416F">
                                          <w:pPr>
                                            <w:pStyle w:val="NormalWeb"/>
                                            <w:spacing w:before="0" w:beforeAutospacing="0" w:after="0" w:afterAutospacing="0" w:line="330" w:lineRule="exact"/>
                                          </w:pPr>
                                          <w:r>
                                            <w:rPr>
                                              <w:rStyle w:val="lev"/>
                                              <w:rFonts w:ascii="Arial" w:hAnsi="Arial" w:cs="Arial"/>
                                              <w:color w:val="000000"/>
                                              <w:sz w:val="18"/>
                                              <w:szCs w:val="18"/>
                                              <w:lang w:eastAsia="en-US"/>
                                            </w:rPr>
                                            <w:lastRenderedPageBreak/>
                                            <w:t>Ministère délégué chargé des Petites et Moyennes Entreprises</w:t>
                                          </w:r>
                                        </w:p>
                                        <w:p w:rsidR="0054416F" w:rsidRDefault="0054416F">
                                          <w:pPr>
                                            <w:pStyle w:val="NormalWeb"/>
                                            <w:spacing w:before="0" w:beforeAutospacing="0" w:after="0" w:afterAutospacing="0" w:line="330" w:lineRule="exact"/>
                                          </w:pPr>
                                          <w:r>
                                            <w:rPr>
                                              <w:rFonts w:ascii="Arial" w:hAnsi="Arial" w:cs="Arial"/>
                                              <w:color w:val="000000"/>
                                              <w:sz w:val="18"/>
                                              <w:szCs w:val="18"/>
                                              <w:lang w:eastAsia="en-US"/>
                                            </w:rPr>
                                            <w:t>Tél : 01 53 18 46 41</w:t>
                                          </w:r>
                                        </w:p>
                                        <w:p w:rsidR="0054416F" w:rsidRDefault="0054416F">
                                          <w:pPr>
                                            <w:pStyle w:val="NormalWeb"/>
                                            <w:spacing w:before="0" w:beforeAutospacing="0" w:after="0" w:afterAutospacing="0" w:line="252" w:lineRule="auto"/>
                                            <w:jc w:val="both"/>
                                          </w:pPr>
                                          <w:r>
                                            <w:rPr>
                                              <w:rFonts w:ascii="Arial" w:hAnsi="Arial" w:cs="Arial"/>
                                              <w:color w:val="000000"/>
                                              <w:sz w:val="18"/>
                                              <w:szCs w:val="18"/>
                                              <w:lang w:eastAsia="en-US"/>
                                            </w:rPr>
                                            <w:t>Mél :</w:t>
                                          </w:r>
                                          <w:r>
                                            <w:rPr>
                                              <w:rStyle w:val="Lienhypertexte"/>
                                              <w:lang w:eastAsia="en-US"/>
                                            </w:rPr>
                                            <w:t xml:space="preserve"> </w:t>
                                          </w:r>
                                          <w:hyperlink r:id="rId8" w:history="1">
                                            <w:r>
                                              <w:rPr>
                                                <w:rStyle w:val="Lienhypertexte"/>
                                                <w:rFonts w:ascii="Arial" w:hAnsi="Arial" w:cs="Arial"/>
                                                <w:sz w:val="18"/>
                                                <w:szCs w:val="18"/>
                                                <w:lang w:eastAsia="en-US"/>
                                              </w:rPr>
                                              <w:t>presse.pme@cabinets.finances.gouv.fr</w:t>
                                            </w:r>
                                          </w:hyperlink>
                                        </w:p>
                                        <w:p w:rsidR="0054416F" w:rsidRDefault="0054416F">
                                          <w:pPr>
                                            <w:pStyle w:val="NormalWeb"/>
                                            <w:spacing w:before="0" w:beforeAutospacing="0" w:after="0" w:afterAutospacing="0" w:line="330" w:lineRule="exact"/>
                                          </w:pPr>
                                          <w:r>
                                            <w:rPr>
                                              <w:lang w:eastAsia="en-US"/>
                                            </w:rPr>
                                            <w:t> </w:t>
                                          </w:r>
                                        </w:p>
                                      </w:tc>
                                    </w:tr>
                                  </w:tbl>
                                  <w:p w:rsidR="0054416F" w:rsidRDefault="0054416F">
                                    <w:pPr>
                                      <w:rPr>
                                        <w:rFonts w:eastAsia="Times New Roman"/>
                                        <w:sz w:val="20"/>
                                        <w:szCs w:val="20"/>
                                      </w:rPr>
                                    </w:pPr>
                                  </w:p>
                                </w:tc>
                              </w:tr>
                            </w:tbl>
                            <w:p w:rsidR="0054416F" w:rsidRDefault="0054416F">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298"/>
                              </w:tblGrid>
                              <w:tr w:rsidR="0054416F">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54416F">
                                      <w:trPr>
                                        <w:trHeight w:val="960"/>
                                        <w:jc w:val="center"/>
                                      </w:trPr>
                                      <w:tc>
                                        <w:tcPr>
                                          <w:tcW w:w="0" w:type="auto"/>
                                          <w:vAlign w:val="center"/>
                                          <w:hideMark/>
                                        </w:tcPr>
                                        <w:p w:rsidR="0054416F" w:rsidRDefault="0054416F">
                                          <w:pPr>
                                            <w:spacing w:line="960" w:lineRule="exact"/>
                                          </w:pPr>
                                          <w:r>
                                            <w:rPr>
                                              <w:sz w:val="96"/>
                                              <w:szCs w:val="96"/>
                                              <w:lang w:eastAsia="en-US"/>
                                            </w:rPr>
                                            <w:lastRenderedPageBreak/>
                                            <w:t> </w:t>
                                          </w:r>
                                        </w:p>
                                      </w:tc>
                                    </w:tr>
                                  </w:tbl>
                                  <w:tbl>
                                    <w:tblPr>
                                      <w:tblpPr w:vertAnchor="text"/>
                                      <w:tblW w:w="5000" w:type="pct"/>
                                      <w:tblCellMar>
                                        <w:left w:w="0" w:type="dxa"/>
                                        <w:right w:w="0" w:type="dxa"/>
                                      </w:tblCellMar>
                                      <w:tblLook w:val="04A0" w:firstRow="1" w:lastRow="0" w:firstColumn="1" w:lastColumn="0" w:noHBand="0" w:noVBand="1"/>
                                    </w:tblPr>
                                    <w:tblGrid>
                                      <w:gridCol w:w="2698"/>
                                    </w:tblGrid>
                                    <w:tr w:rsidR="0054416F">
                                      <w:tc>
                                        <w:tcPr>
                                          <w:tcW w:w="0" w:type="auto"/>
                                          <w:vAlign w:val="center"/>
                                          <w:hideMark/>
                                        </w:tcPr>
                                        <w:p w:rsidR="0054416F" w:rsidRDefault="0054416F">
                                          <w:pPr>
                                            <w:jc w:val="center"/>
                                            <w:rPr>
                                              <w:rFonts w:eastAsia="Times New Roman"/>
                                              <w:sz w:val="20"/>
                                              <w:szCs w:val="20"/>
                                            </w:rPr>
                                          </w:pPr>
                                        </w:p>
                                      </w:tc>
                                    </w:tr>
                                  </w:tbl>
                                  <w:p w:rsidR="0054416F" w:rsidRDefault="0054416F">
                                    <w:pPr>
                                      <w:rPr>
                                        <w:rFonts w:eastAsia="Times New Roman"/>
                                        <w:sz w:val="20"/>
                                        <w:szCs w:val="20"/>
                                      </w:rPr>
                                    </w:pPr>
                                  </w:p>
                                </w:tc>
                              </w:tr>
                              <w:tr w:rsidR="0054416F">
                                <w:trPr>
                                  <w:trHeight w:val="960"/>
                                </w:trPr>
                                <w:tc>
                                  <w:tcPr>
                                    <w:tcW w:w="0" w:type="auto"/>
                                    <w:vAlign w:val="center"/>
                                    <w:hideMark/>
                                  </w:tcPr>
                                  <w:p w:rsidR="0054416F" w:rsidRDefault="0054416F">
                                    <w:pPr>
                                      <w:spacing w:line="960" w:lineRule="exact"/>
                                    </w:pPr>
                                    <w:r>
                                      <w:rPr>
                                        <w:sz w:val="96"/>
                                        <w:szCs w:val="96"/>
                                        <w:lang w:eastAsia="en-US"/>
                                      </w:rPr>
                                      <w:t xml:space="preserve">  </w:t>
                                    </w:r>
                                  </w:p>
                                  <w:tbl>
                                    <w:tblPr>
                                      <w:tblpPr w:vertAnchor="text"/>
                                      <w:tblW w:w="5000" w:type="pct"/>
                                      <w:tblCellMar>
                                        <w:left w:w="0" w:type="dxa"/>
                                        <w:right w:w="0" w:type="dxa"/>
                                      </w:tblCellMar>
                                      <w:tblLook w:val="04A0" w:firstRow="1" w:lastRow="0" w:firstColumn="1" w:lastColumn="0" w:noHBand="0" w:noVBand="1"/>
                                    </w:tblPr>
                                    <w:tblGrid>
                                      <w:gridCol w:w="3298"/>
                                    </w:tblGrid>
                                    <w:tr w:rsidR="0054416F">
                                      <w:tc>
                                        <w:tcPr>
                                          <w:tcW w:w="0" w:type="auto"/>
                                          <w:vAlign w:val="center"/>
                                          <w:hideMark/>
                                        </w:tcPr>
                                        <w:p w:rsidR="0054416F" w:rsidRDefault="0054416F"/>
                                      </w:tc>
                                    </w:tr>
                                  </w:tbl>
                                  <w:p w:rsidR="0054416F" w:rsidRDefault="0054416F">
                                    <w:pPr>
                                      <w:spacing w:line="960" w:lineRule="exact"/>
                                    </w:pPr>
                                    <w:r>
                                      <w:rPr>
                                        <w:sz w:val="96"/>
                                        <w:szCs w:val="96"/>
                                        <w:lang w:eastAsia="en-US"/>
                                      </w:rPr>
                                      <w:lastRenderedPageBreak/>
                                      <w:t> </w:t>
                                    </w:r>
                                  </w:p>
                                  <w:tbl>
                                    <w:tblPr>
                                      <w:tblpPr w:vertAnchor="text"/>
                                      <w:tblW w:w="5000" w:type="pct"/>
                                      <w:tblCellMar>
                                        <w:left w:w="0" w:type="dxa"/>
                                        <w:right w:w="0" w:type="dxa"/>
                                      </w:tblCellMar>
                                      <w:tblLook w:val="04A0" w:firstRow="1" w:lastRow="0" w:firstColumn="1" w:lastColumn="0" w:noHBand="0" w:noVBand="1"/>
                                    </w:tblPr>
                                    <w:tblGrid>
                                      <w:gridCol w:w="3298"/>
                                    </w:tblGrid>
                                    <w:tr w:rsidR="0054416F">
                                      <w:tc>
                                        <w:tcPr>
                                          <w:tcW w:w="0" w:type="auto"/>
                                          <w:vAlign w:val="center"/>
                                          <w:hideMark/>
                                        </w:tcPr>
                                        <w:p w:rsidR="0054416F" w:rsidRDefault="0054416F"/>
                                      </w:tc>
                                    </w:tr>
                                  </w:tbl>
                                  <w:tbl>
                                    <w:tblPr>
                                      <w:tblW w:w="0" w:type="auto"/>
                                      <w:jc w:val="center"/>
                                      <w:tblCellMar>
                                        <w:left w:w="0" w:type="dxa"/>
                                        <w:right w:w="0" w:type="dxa"/>
                                      </w:tblCellMar>
                                      <w:tblLook w:val="04A0" w:firstRow="1" w:lastRow="0" w:firstColumn="1" w:lastColumn="0" w:noHBand="0" w:noVBand="1"/>
                                    </w:tblPr>
                                    <w:tblGrid>
                                      <w:gridCol w:w="6"/>
                                    </w:tblGrid>
                                    <w:tr w:rsidR="0054416F">
                                      <w:trPr>
                                        <w:trHeight w:val="960"/>
                                        <w:jc w:val="center"/>
                                      </w:trPr>
                                      <w:tc>
                                        <w:tcPr>
                                          <w:tcW w:w="0" w:type="auto"/>
                                          <w:vAlign w:val="center"/>
                                          <w:hideMark/>
                                        </w:tcPr>
                                        <w:p w:rsidR="0054416F" w:rsidRDefault="0054416F">
                                          <w:pPr>
                                            <w:rPr>
                                              <w:rFonts w:eastAsia="Times New Roman"/>
                                              <w:sz w:val="20"/>
                                              <w:szCs w:val="20"/>
                                            </w:rPr>
                                          </w:pPr>
                                        </w:p>
                                      </w:tc>
                                    </w:tr>
                                  </w:tbl>
                                  <w:tbl>
                                    <w:tblPr>
                                      <w:tblpPr w:vertAnchor="text"/>
                                      <w:tblW w:w="5000" w:type="pct"/>
                                      <w:tblCellMar>
                                        <w:left w:w="0" w:type="dxa"/>
                                        <w:right w:w="0" w:type="dxa"/>
                                      </w:tblCellMar>
                                      <w:tblLook w:val="04A0" w:firstRow="1" w:lastRow="0" w:firstColumn="1" w:lastColumn="0" w:noHBand="0" w:noVBand="1"/>
                                    </w:tblPr>
                                    <w:tblGrid>
                                      <w:gridCol w:w="3298"/>
                                    </w:tblGrid>
                                    <w:tr w:rsidR="0054416F">
                                      <w:tc>
                                        <w:tcPr>
                                          <w:tcW w:w="0" w:type="auto"/>
                                          <w:vAlign w:val="center"/>
                                          <w:hideMark/>
                                        </w:tcPr>
                                        <w:p w:rsidR="0054416F" w:rsidRDefault="0054416F">
                                          <w:pPr>
                                            <w:jc w:val="center"/>
                                            <w:rPr>
                                              <w:rFonts w:eastAsia="Times New Roman"/>
                                              <w:sz w:val="20"/>
                                              <w:szCs w:val="20"/>
                                            </w:rPr>
                                          </w:pPr>
                                        </w:p>
                                      </w:tc>
                                    </w:tr>
                                  </w:tbl>
                                  <w:p w:rsidR="0054416F" w:rsidRDefault="0054416F">
                                    <w:pPr>
                                      <w:rPr>
                                        <w:rFonts w:eastAsia="Times New Roman"/>
                                        <w:sz w:val="20"/>
                                        <w:szCs w:val="20"/>
                                      </w:rPr>
                                    </w:pPr>
                                  </w:p>
                                </w:tc>
                              </w:tr>
                            </w:tbl>
                            <w:tbl>
                              <w:tblPr>
                                <w:tblpPr w:vertAnchor="text"/>
                                <w:tblW w:w="5000" w:type="pct"/>
                                <w:tblCellMar>
                                  <w:left w:w="0" w:type="dxa"/>
                                  <w:right w:w="0" w:type="dxa"/>
                                </w:tblCellMar>
                                <w:tblLook w:val="04A0" w:firstRow="1" w:lastRow="0" w:firstColumn="1" w:lastColumn="0" w:noHBand="0" w:noVBand="1"/>
                              </w:tblPr>
                              <w:tblGrid>
                                <w:gridCol w:w="3298"/>
                              </w:tblGrid>
                              <w:tr w:rsidR="0054416F">
                                <w:tc>
                                  <w:tcPr>
                                    <w:tcW w:w="0" w:type="auto"/>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rPr>
                <w:rFonts w:eastAsia="Times New Roman"/>
                <w:sz w:val="20"/>
                <w:szCs w:val="20"/>
              </w:rPr>
            </w:pPr>
          </w:p>
        </w:tc>
      </w:tr>
      <w:tr w:rsidR="0054416F" w:rsidTr="0054416F">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54416F">
              <w:tc>
                <w:tcPr>
                  <w:tcW w:w="150" w:type="dxa"/>
                  <w:shd w:val="clear" w:color="auto" w:fill="FFFFFF"/>
                  <w:vAlign w:val="center"/>
                  <w:hideMark/>
                </w:tcPr>
                <w:p w:rsidR="0054416F" w:rsidRDefault="0054416F">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54416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54416F">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54416F">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54416F">
                                      <w:tc>
                                        <w:tcPr>
                                          <w:tcW w:w="0" w:type="auto"/>
                                          <w:vAlign w:val="center"/>
                                          <w:hideMark/>
                                        </w:tcPr>
                                        <w:p w:rsidR="0054416F" w:rsidRDefault="0054416F">
                                          <w:pPr>
                                            <w:pStyle w:val="NormalWeb"/>
                                            <w:spacing w:before="0" w:beforeAutospacing="0" w:after="0" w:afterAutospacing="0" w:line="225" w:lineRule="exact"/>
                                            <w:jc w:val="center"/>
                                          </w:pPr>
                                          <w:r>
                                            <w:rPr>
                                              <w:rFonts w:ascii="Arial" w:hAnsi="Arial" w:cs="Arial"/>
                                              <w:color w:val="000000"/>
                                              <w:sz w:val="17"/>
                                              <w:szCs w:val="17"/>
                                              <w:lang w:eastAsia="en-US"/>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lang w:eastAsia="en-US"/>
                                            </w:rPr>
                                            <w:t xml:space="preserve">s </w:t>
                                          </w:r>
                                          <w:r>
                                            <w:rPr>
                                              <w:rFonts w:ascii="Arial" w:hAnsi="Arial" w:cs="Arial"/>
                                              <w:color w:val="000000"/>
                                              <w:sz w:val="17"/>
                                              <w:szCs w:val="17"/>
                                              <w:lang w:eastAsia="en-US"/>
                                            </w:rPr>
                                            <w:t>concernant. Vous pouvez exercer vos droits en adressant un e-mail à l’adresse</w:t>
                                          </w:r>
                                          <w:r>
                                            <w:rPr>
                                              <w:rFonts w:ascii="Arial" w:hAnsi="Arial" w:cs="Arial"/>
                                              <w:color w:val="393939"/>
                                              <w:sz w:val="17"/>
                                              <w:szCs w:val="17"/>
                                              <w:lang w:eastAsia="en-US"/>
                                            </w:rPr>
                                            <w:t xml:space="preserve"> </w:t>
                                          </w:r>
                                          <w:hyperlink r:id="rId9" w:tgtFrame="_blank" w:history="1">
                                            <w:r>
                                              <w:rPr>
                                                <w:rStyle w:val="Lienhypertexte"/>
                                                <w:rFonts w:ascii="Arial" w:hAnsi="Arial" w:cs="Arial"/>
                                                <w:color w:val="0595D6"/>
                                                <w:sz w:val="17"/>
                                                <w:szCs w:val="17"/>
                                                <w:lang w:eastAsia="en-US"/>
                                              </w:rPr>
                                              <w:t>DDC-RGPD-CAB@ddc.social.gouv.fr</w:t>
                                            </w:r>
                                          </w:hyperlink>
                                          <w:r>
                                            <w:rPr>
                                              <w:rFonts w:ascii="Arial" w:hAnsi="Arial" w:cs="Arial"/>
                                              <w:color w:val="393939"/>
                                              <w:sz w:val="17"/>
                                              <w:szCs w:val="17"/>
                                              <w:lang w:eastAsia="en-US"/>
                                            </w:rPr>
                                            <w:t>.</w:t>
                                          </w:r>
                                        </w:p>
                                      </w:tc>
                                    </w:tr>
                                  </w:tbl>
                                  <w:p w:rsidR="0054416F" w:rsidRDefault="0054416F">
                                    <w:pPr>
                                      <w:rPr>
                                        <w:rFonts w:eastAsia="Times New Roman"/>
                                        <w:sz w:val="20"/>
                                        <w:szCs w:val="20"/>
                                      </w:rPr>
                                    </w:pPr>
                                  </w:p>
                                </w:tc>
                              </w:tr>
                            </w:tbl>
                            <w:p w:rsidR="0054416F" w:rsidRDefault="0054416F">
                              <w:pPr>
                                <w:rPr>
                                  <w:rFonts w:eastAsia="Times New Roman"/>
                                  <w:sz w:val="20"/>
                                  <w:szCs w:val="20"/>
                                </w:rPr>
                              </w:pPr>
                            </w:p>
                          </w:tc>
                        </w:tr>
                      </w:tbl>
                      <w:p w:rsidR="0054416F" w:rsidRDefault="0054416F">
                        <w:pPr>
                          <w:jc w:val="center"/>
                          <w:rPr>
                            <w:rFonts w:eastAsia="Times New Roman"/>
                            <w:sz w:val="20"/>
                            <w:szCs w:val="20"/>
                          </w:rPr>
                        </w:pPr>
                      </w:p>
                    </w:tc>
                  </w:tr>
                </w:tbl>
                <w:p w:rsidR="0054416F" w:rsidRDefault="0054416F">
                  <w:pPr>
                    <w:jc w:val="center"/>
                    <w:rPr>
                      <w:rFonts w:eastAsia="Times New Roman"/>
                      <w:sz w:val="20"/>
                      <w:szCs w:val="20"/>
                    </w:rPr>
                  </w:pPr>
                </w:p>
              </w:tc>
              <w:tc>
                <w:tcPr>
                  <w:tcW w:w="150" w:type="dxa"/>
                  <w:shd w:val="clear" w:color="auto" w:fill="FFFFFF"/>
                  <w:vAlign w:val="center"/>
                  <w:hideMark/>
                </w:tcPr>
                <w:p w:rsidR="0054416F" w:rsidRDefault="0054416F">
                  <w:pPr>
                    <w:rPr>
                      <w:rFonts w:eastAsia="Times New Roman"/>
                      <w:sz w:val="20"/>
                      <w:szCs w:val="20"/>
                    </w:rPr>
                  </w:pPr>
                </w:p>
              </w:tc>
            </w:tr>
          </w:tbl>
          <w:p w:rsidR="0054416F" w:rsidRDefault="0054416F">
            <w:pPr>
              <w:spacing w:line="252" w:lineRule="auto"/>
            </w:pPr>
            <w:r>
              <w:rPr>
                <w:lang w:eastAsia="en-US"/>
              </w:rPr>
              <w:t> </w:t>
            </w:r>
          </w:p>
          <w:tbl>
            <w:tblPr>
              <w:tblW w:w="5000" w:type="pct"/>
              <w:tblCellMar>
                <w:left w:w="0" w:type="dxa"/>
                <w:right w:w="0" w:type="dxa"/>
              </w:tblCellMar>
              <w:tblLook w:val="04A0" w:firstRow="1" w:lastRow="0" w:firstColumn="1" w:lastColumn="0" w:noHBand="0" w:noVBand="1"/>
            </w:tblPr>
            <w:tblGrid>
              <w:gridCol w:w="9072"/>
            </w:tblGrid>
            <w:tr w:rsidR="0054416F">
              <w:trPr>
                <w:trHeight w:val="150"/>
              </w:trPr>
              <w:tc>
                <w:tcPr>
                  <w:tcW w:w="9750" w:type="dxa"/>
                  <w:shd w:val="clear" w:color="auto" w:fill="FFFFFF"/>
                  <w:tcMar>
                    <w:top w:w="0" w:type="dxa"/>
                    <w:left w:w="150" w:type="dxa"/>
                    <w:bottom w:w="0" w:type="dxa"/>
                    <w:right w:w="150" w:type="dxa"/>
                  </w:tcMar>
                  <w:vAlign w:val="center"/>
                  <w:hideMark/>
                </w:tcPr>
                <w:p w:rsidR="0054416F" w:rsidRDefault="0054416F">
                  <w:pPr>
                    <w:spacing w:line="150" w:lineRule="exact"/>
                  </w:pPr>
                  <w:r>
                    <w:rPr>
                      <w:sz w:val="15"/>
                      <w:szCs w:val="15"/>
                      <w:lang w:eastAsia="en-US"/>
                    </w:rPr>
                    <w:t xml:space="preserve">  </w:t>
                  </w:r>
                </w:p>
              </w:tc>
            </w:tr>
          </w:tbl>
          <w:p w:rsidR="0054416F" w:rsidRDefault="0054416F">
            <w:pPr>
              <w:rPr>
                <w:rFonts w:eastAsia="Times New Roman"/>
                <w:sz w:val="20"/>
                <w:szCs w:val="20"/>
              </w:rPr>
            </w:pPr>
          </w:p>
        </w:tc>
      </w:tr>
    </w:tbl>
    <w:p w:rsidR="0038618C" w:rsidRDefault="0054416F"/>
    <w:sectPr w:rsidR="00386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4240"/>
    <w:multiLevelType w:val="hybridMultilevel"/>
    <w:tmpl w:val="D682D6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6F"/>
    <w:rsid w:val="002A1C7F"/>
    <w:rsid w:val="0054416F"/>
    <w:rsid w:val="009B7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8E96"/>
  <w15:chartTrackingRefBased/>
  <w15:docId w15:val="{8F66CB9D-F25C-4492-9CF6-02D9BCEB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6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4416F"/>
    <w:rPr>
      <w:color w:val="0563C1"/>
      <w:u w:val="single"/>
    </w:rPr>
  </w:style>
  <w:style w:type="paragraph" w:styleId="NormalWeb">
    <w:name w:val="Normal (Web)"/>
    <w:basedOn w:val="Normal"/>
    <w:uiPriority w:val="99"/>
    <w:semiHidden/>
    <w:unhideWhenUsed/>
    <w:rsid w:val="0054416F"/>
    <w:pPr>
      <w:spacing w:before="100" w:beforeAutospacing="1" w:after="100" w:afterAutospacing="1"/>
    </w:pPr>
  </w:style>
  <w:style w:type="character" w:customStyle="1" w:styleId="ParagraphedelisteCar">
    <w:name w:val="Paragraphe de liste Car"/>
    <w:aliases w:val="Sémaphores Puces Car,List Paragraph Car,Listes Car,Paragraphe de liste1 Car,Liste à puce - SC Car,Paragraphe de liste11 Car,Paragraphe de liste2 Car,Paragraphe de liste num Car,Paragraphe de liste 1 Car,Lettre d'introduction Car"/>
    <w:basedOn w:val="Policepardfaut"/>
    <w:link w:val="Paragraphedeliste"/>
    <w:uiPriority w:val="34"/>
    <w:locked/>
    <w:rsid w:val="0054416F"/>
  </w:style>
  <w:style w:type="paragraph" w:styleId="Paragraphedeliste">
    <w:name w:val="List Paragraph"/>
    <w:aliases w:val="Sémaphores Puces,List Paragraph,Listes,Paragraphe de liste1,Liste à puce - SC,Paragraphe de liste11,Paragraphe de liste2,Paragraphe de liste num,Paragraphe de liste 1,Paragraphe de liste serré,Lettre d'introduction,List Paragraph1,EC"/>
    <w:basedOn w:val="Normal"/>
    <w:link w:val="ParagraphedelisteCar"/>
    <w:uiPriority w:val="34"/>
    <w:qFormat/>
    <w:rsid w:val="0054416F"/>
    <w:pPr>
      <w:spacing w:after="160" w:line="252" w:lineRule="auto"/>
      <w:ind w:left="720"/>
      <w:contextualSpacing/>
    </w:pPr>
    <w:rPr>
      <w:rFonts w:asciiTheme="minorHAnsi" w:hAnsiTheme="minorHAnsi" w:cstheme="minorBidi"/>
      <w:sz w:val="22"/>
      <w:szCs w:val="22"/>
      <w:lang w:eastAsia="en-US"/>
    </w:rPr>
  </w:style>
  <w:style w:type="character" w:styleId="lev">
    <w:name w:val="Strong"/>
    <w:basedOn w:val="Policepardfaut"/>
    <w:uiPriority w:val="22"/>
    <w:qFormat/>
    <w:rsid w:val="00544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6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pme@cabinets.finances.gouv.fr" TargetMode="External"/><Relationship Id="rId3" Type="http://schemas.openxmlformats.org/officeDocument/2006/relationships/settings" Target="settings.xml"/><Relationship Id="rId7" Type="http://schemas.openxmlformats.org/officeDocument/2006/relationships/hyperlink" Target="mailto:sec.presse.travail@cab.travail.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C970.C056C34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C-RGPD-CAB@ddc.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GENAY, Margot (CAB/TRAVAIL)</dc:creator>
  <cp:keywords/>
  <dc:description/>
  <cp:lastModifiedBy>GENAY, Margot (CAB/TRAVAIL)</cp:lastModifiedBy>
  <cp:revision>1</cp:revision>
  <dcterms:created xsi:type="dcterms:W3CDTF">2020-12-03T12:53:00Z</dcterms:created>
  <dcterms:modified xsi:type="dcterms:W3CDTF">2020-12-03T12:55:00Z</dcterms:modified>
</cp:coreProperties>
</file>