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5B5B40" w:rsidTr="005B5B40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50"/>
            </w:tblGrid>
            <w:tr w:rsidR="005B5B40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B5B40" w:rsidTr="00E263B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5B40" w:rsidRDefault="005B5B40" w:rsidP="005B5B40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5B5B40" w:rsidTr="00E263B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eastAsia="Times New Roman"/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vanish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B5B40" w:rsidTr="00E263B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2700"/>
                                                      </w:tblGrid>
                                                      <w:tr w:rsidR="005B5B40" w:rsidTr="00E263B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B5B40" w:rsidRDefault="005B5B40" w:rsidP="005B5B40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rFonts w:eastAsia="Times New Roman"/>
                                                                <w:sz w:val="2"/>
                                                                <w:szCs w:val="2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eastAsia="Times New Roman"/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BDBE4A5" wp14:editId="1DDF66CF">
                                                                  <wp:extent cx="1714500" cy="1428750"/>
                                                                  <wp:effectExtent l="0" t="0" r="0" b="0"/>
                                                                  <wp:docPr id="1" name="Image 1" descr="http://img.sarbacane.com/5b23cd31b85b536066d9291a/templates/ioe0WFx_ROCNRooz2Mbw7Q/e6593d2900e2b4a056772e1e67f74bc42bad4d10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://img.sarbacane.com/5b23cd31b85b536066d9291a/templates/ioe0WFx_ROCNRooz2Mbw7Q/e6593d2900e2b4a056772e1e67f74bc42bad4d10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 r:link="rId5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714500" cy="142875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B5B40" w:rsidRDefault="005B5B40" w:rsidP="005B5B40">
                                                      <w:pPr>
                                                        <w:rPr>
                                                          <w:rFonts w:asciiTheme="minorHAnsi" w:hAnsiTheme="minorHAnsi" w:cstheme="minorBidi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"/>
                                                </w:tblGrid>
                                                <w:tr w:rsidR="005B5B40" w:rsidTr="00E263B2">
                                                  <w:trPr>
                                                    <w:trHeight w:val="30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spacing w:line="300" w:lineRule="exact"/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30"/>
                                                          <w:szCs w:val="30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p w:rsidR="005B5B40" w:rsidRDefault="005B5B40" w:rsidP="005B5B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vanish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5B5B40" w:rsidTr="00E263B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Agenda </w:t>
                                                      </w:r>
                                                      <w:r w:rsidR="008F248E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prévisionnel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de Madame </w:t>
                                                      </w:r>
                                                      <w:r w:rsidR="0062148F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É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lisabeth Borne</w:t>
                                                      </w:r>
                                                    </w:p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>ministre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lang w:eastAsia="en-US"/>
                                                        </w:rPr>
                                                        <w:t xml:space="preserve"> du Travail, de l'Emploi et de l'Insertion</w:t>
                                                      </w:r>
                                                    </w:p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5B5B40" w:rsidRDefault="005B5B40" w:rsidP="0062148F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Semaine du </w:t>
                                                      </w:r>
                                                      <w:r w:rsidR="00D90965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29 novembre au 3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5B5B40" w:rsidTr="00E263B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750"/>
                                                </w:tblGrid>
                                                <w:tr w:rsidR="005B5B40" w:rsidTr="00E263B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9750"/>
                                                      </w:tblGrid>
                                                      <w:tr w:rsidR="005B5B40" w:rsidTr="00E263B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single" w:sz="6" w:space="0" w:color="000000"/>
                                                              <w:left w:val="nil"/>
                                                              <w:bottom w:val="nil"/>
                                                              <w:right w:val="nil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5B5B40" w:rsidRDefault="005B5B40" w:rsidP="005B5B40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lang w:eastAsia="en-US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B5B40" w:rsidRDefault="005B5B40" w:rsidP="005B5B40">
                                                      <w:pPr>
                                                        <w:rPr>
                                                          <w:rFonts w:asciiTheme="minorHAnsi" w:hAnsiTheme="minorHAnsi" w:cstheme="minorBidi"/>
                                                          <w:sz w:val="20"/>
                                                          <w:szCs w:val="20"/>
                                                          <w:lang w:eastAsia="en-US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 w:cstheme="minorBidi"/>
                                                    <w:sz w:val="22"/>
                                                    <w:szCs w:val="22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"/>
                                                </w:tblGrid>
                                                <w:tr w:rsidR="005B5B40" w:rsidTr="00E263B2">
                                                  <w:trPr>
                                                    <w:trHeight w:val="150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spacing w:line="150" w:lineRule="exact"/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5"/>
                                                          <w:szCs w:val="15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D90965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Lundi 29 novembre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A4016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D90965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09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0965" w:rsidRDefault="00F24090" w:rsidP="00D909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Intervention </w:t>
                                                      </w:r>
                                                      <w:r w:rsidR="00D90965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au Sommet de l’inclusion économique organisé par la Fondation Mozaïk </w:t>
                                                      </w:r>
                                                    </w:p>
                                                    <w:p w:rsidR="005B5B40" w:rsidRDefault="00D90965" w:rsidP="00D90965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de l’Economie, des Finances et de la Relance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40164" w:rsidTr="00A4016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A40164" w:rsidTr="002566F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A40164" w:rsidTr="002566F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40164" w:rsidRDefault="00A40164" w:rsidP="00A4016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14h30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40164" w:rsidRDefault="00A40164" w:rsidP="00A40164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40164" w:rsidRDefault="00A40164" w:rsidP="00A40164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A40164" w:rsidTr="002566F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A40164" w:rsidTr="002566F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40164" w:rsidRDefault="00A40164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Jean-Luc TAVERNIER, d</w:t>
                                                      </w:r>
                                                      <w:r w:rsidRPr="00D9096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irecteur général de l'Institut national de la stati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stique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et des études économiques (INSEE) et </w:t>
                                                      </w:r>
                                                      <w:r w:rsidRPr="00D9096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Michel HOUDEBINE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, </w:t>
                                                      </w:r>
                                                      <w:r w:rsidRPr="00D9096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directeur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de la direction </w:t>
                                                      </w:r>
                                                      <w:r w:rsidRPr="00D90965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de l'animation, de la recherche, des études et des statistiques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(DARES)</w:t>
                                                      </w:r>
                                                    </w:p>
                                                    <w:p w:rsidR="00A40164" w:rsidRDefault="00A40164" w:rsidP="00A4016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40164" w:rsidRDefault="00A40164" w:rsidP="00A40164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40164" w:rsidDel="00F24090" w:rsidRDefault="00A40164" w:rsidP="00A40164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98739B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17h15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98739B" w:rsidRDefault="0098739B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Jean CASTEX, Premier ministre</w:t>
                                                      </w:r>
                                                    </w:p>
                                                    <w:p w:rsidR="005B5B40" w:rsidRDefault="0098739B" w:rsidP="0098739B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Mardi 30 novembre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09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7CA8" w:rsidRDefault="001F7CA8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Ouverture de l’événement « 50 ans de la loi Delors » </w:t>
                                                      </w:r>
                                                      <w:r w:rsidR="00F2409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sur la formation professionnelle,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organisé par Centre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Inffo</w:t>
                                                      </w:r>
                                                      <w:proofErr w:type="spellEnd"/>
                                                    </w:p>
                                                    <w:p w:rsidR="005B5B40" w:rsidRDefault="00AD6FA7" w:rsidP="001F7CA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Paris (75)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10h3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 Karl OLIVE, Maire de Poissy</w:t>
                                                      </w:r>
                                                      <w:r w:rsidR="00F2409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, dans le cadre de sa mission </w:t>
                                                      </w:r>
                                                      <w:r w:rsidR="00F24090" w:rsidRPr="00F2409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sur l’insertion des habitants des quartiers de la politique de la ville par le sport</w:t>
                                                      </w:r>
                                                    </w:p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11h3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Olivier DUSSOPT, </w:t>
                                                      </w:r>
                                                      <w:r w:rsidRPr="001F7CA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 </w:t>
                                                      </w:r>
                                                      <w:r w:rsidR="00F24090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</w:t>
                                                      </w:r>
                                                      <w:r w:rsidRPr="001F7CA8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inistre délégué auprès du ministre de l'Économie, des Finances et de la Relance, chargé des Comptes publics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1F7CA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Questions au Gouvernement </w:t>
                                                      </w:r>
                                                    </w:p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Assemblée nationale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1F7CA8" w:rsidTr="001F7CA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1F7CA8" w:rsidTr="003F757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1F7CA8" w:rsidTr="003F757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7CA8" w:rsidRDefault="001F7CA8" w:rsidP="001F7CA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19h10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7CA8" w:rsidRDefault="001F7CA8" w:rsidP="001F7CA8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7CA8" w:rsidRDefault="001F7CA8" w:rsidP="001F7CA8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1F7CA8" w:rsidTr="003F757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1F7CA8" w:rsidTr="003F757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1F7CA8" w:rsidRPr="001F7CA8" w:rsidRDefault="001F7CA8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Invitée d’</w:t>
                                                      </w:r>
                                                      <w:r w:rsidR="00F2409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dwige CHEVRILLON sur BFM Business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1F7CA8" w:rsidRDefault="001F7CA8" w:rsidP="001F7CA8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1F7CA8" w:rsidRDefault="001F7CA8" w:rsidP="001F7CA8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Mercredi 1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A4016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10h3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Conseil des Ministres</w:t>
                                                      </w:r>
                                                    </w:p>
                                                    <w:p w:rsidR="005B5B40" w:rsidRDefault="001F7CA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Palais de l’Elysée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A40164" w:rsidTr="00A4016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A40164" w:rsidTr="002566F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A40164" w:rsidTr="002566F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40164" w:rsidRDefault="00A40164" w:rsidP="00A4016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14h30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40164" w:rsidRDefault="00A40164" w:rsidP="00A40164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40164" w:rsidRDefault="00A40164" w:rsidP="00A40164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A40164" w:rsidTr="002566F3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A40164" w:rsidTr="002566F3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40164" w:rsidRDefault="00A40164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Visite du Hub Numérique Nikola Tesla pour la signature de l’accord-cadre national </w:t>
                                                      </w:r>
                                                      <w:r w:rsidRPr="00F2409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d’engagement de développement de l’emploi et des compétences pour la filière des infrastructures du numérique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 avec Cédric O, s</w:t>
                                                      </w:r>
                                                      <w:r w:rsidRPr="00F2409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ecrétaire d'Etat chargé de la Transition numérique et des Communications électroniques</w:t>
                                                      </w:r>
                                                    </w:p>
                                                    <w:p w:rsidR="00A40164" w:rsidRDefault="00A40164" w:rsidP="00A40164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Informations à venir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40164" w:rsidRDefault="00A40164" w:rsidP="00A40164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40164" w:rsidRDefault="00A40164" w:rsidP="00A40164">
                                          <w:pPr>
                                            <w:pStyle w:val="NormalWeb"/>
                                            <w:spacing w:before="0" w:beforeAutospacing="0" w:after="0" w:afterAutospacing="0" w:line="330" w:lineRule="exact"/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auto"/>
                    </w:tblPrEx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5B5B40" w:rsidRDefault="005B5B40" w:rsidP="005B5B40">
                  <w:pPr>
                    <w:rPr>
                      <w:rFonts w:eastAsia="Times New Roman"/>
                      <w:lang w:eastAsia="en-US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0"/>
                  </w:tblGrid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F87156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16h3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F2409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Intervention aux</w:t>
                                                      </w:r>
                                                      <w:r w:rsidR="00F87156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Assises du commerce</w:t>
                                                      </w:r>
                                                    </w:p>
                                                    <w:p w:rsidR="005B5B40" w:rsidRDefault="00F87156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de l’Economie, des Finances et de la Relance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F87156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17h3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F87156" w:rsidP="005A0B6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Intervention au Congrès annuel de la</w:t>
                                                      </w:r>
                                                      <w:r w:rsidRPr="00F87156">
                                                        <w:rPr>
                                                          <w:rFonts w:ascii="Open Sans" w:hAnsi="Open Sans"/>
                                                          <w:b/>
                                                          <w:bCs/>
                                                          <w:color w:val="212121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Pr="00F8715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Fédération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Na</w:t>
                                                      </w:r>
                                                      <w:r w:rsidRPr="00F8715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tionale des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Dir</w:t>
                                                      </w:r>
                                                      <w:r w:rsidRPr="00F87156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ecteurs de Centres de Formation d’Apprentis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(FNADIR)</w:t>
                                                      </w:r>
                                                    </w:p>
                                                    <w:p w:rsidR="005B5B40" w:rsidRDefault="00F87156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4036A4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 xml:space="preserve">Jeudi 2 décembre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7B7EE4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Matinée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Overlap w:val="never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5A0B6E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4036A4" w:rsidRPr="004036A4" w:rsidRDefault="004036A4" w:rsidP="005A0B6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Déplacement au Centre pénitentiaire du Muret</w:t>
                                                      </w:r>
                                                      <w:r w:rsidR="00F24090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(31)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avec Éric DUPOND-MORETTI, Garde des Sceaux, ministre de la Justice</w:t>
                                                      </w:r>
                                                    </w:p>
                                                    <w:p w:rsidR="005B5B40" w:rsidRDefault="00F2409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Informations à venir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A0B6E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A0B6E" w:rsidP="005A0B6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Réunion avec les préfets de région</w:t>
                                                      </w:r>
                                                    </w:p>
                                                    <w:p w:rsidR="005B5B40" w:rsidRDefault="005A0B6E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Visioconférence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A0B6E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16h3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A0B6E" w:rsidP="005A0B6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Réunion du groupe de travail paritaire sur les « enjeux d’après-crise »</w:t>
                                                      </w:r>
                                                    </w:p>
                                                    <w:p w:rsidR="005B5B40" w:rsidRDefault="005A0B6E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E6668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19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A0B6E" w:rsidP="005A0B6E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Réunion avec Dominique METAYER, président de l’</w:t>
                                                      </w:r>
                                                      <w:r w:rsidRPr="005A0B6E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Union des entreprises de proximité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(U2P)</w:t>
                                                      </w:r>
                                                    </w:p>
                                                    <w:p w:rsidR="005B5B40" w:rsidRDefault="005A0B6E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E6668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u w:val="single"/>
                                                          <w:lang w:eastAsia="en-US"/>
                                                        </w:rPr>
                                                        <w:t>Vendredi 3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E6668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11</w:t>
                                                      </w:r>
                                                      <w:r w:rsidR="005B5B40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E66688" w:rsidP="00E6668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Thibault LANXADE,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président directeur général du Groupe Jouve</w:t>
                                                      </w:r>
                                                    </w:p>
                                                    <w:p w:rsidR="005B5B40" w:rsidRDefault="00E6668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RPr="00AD6FA7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Pr="00AD6FA7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RPr="00AD6FA7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RPr="00AD6FA7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RPr="00AD6FA7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RPr="00AD6FA7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Pr="00AD6FA7" w:rsidRDefault="00E6668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12</w:t>
                                                      </w:r>
                                                      <w:r w:rsidR="005B5B40"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Pr="00AD6FA7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Pr="00AD6FA7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RPr="00AD6FA7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RPr="00AD6FA7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Pr="00AD6FA7" w:rsidRDefault="00E66688" w:rsidP="00E6668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Entretien avec</w:t>
                                                      </w:r>
                                                      <w:r w:rsidRPr="00AD6FA7">
                                                        <w:t xml:space="preserve"> </w:t>
                                                      </w: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Marie-</w:t>
                                                      </w:r>
                                                      <w:proofErr w:type="spellStart"/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Aleth</w:t>
                                                      </w:r>
                                                      <w:proofErr w:type="spellEnd"/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</w:t>
                                                      </w:r>
                                                      <w:r w:rsidR="008F248E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GRARD</w:t>
                                                      </w: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, président</w:t>
                                                      </w:r>
                                                      <w:r w:rsidR="00AD6FA7" w:rsidRPr="00AD6FA7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 </w:t>
                                                      </w:r>
                                                      <w:r w:rsidR="00A40164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d’A</w:t>
                                                      </w:r>
                                                      <w:r w:rsidR="00AD6FA7" w:rsidRPr="00AD6FA7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TD Quart Monde</w:t>
                                                      </w:r>
                                                    </w:p>
                                                    <w:p w:rsidR="005B5B40" w:rsidRPr="00AD6FA7" w:rsidRDefault="00E6668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Pr="00AD6FA7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Pr="00AD6FA7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Pr="00AD6FA7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Pr="00AD6FA7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Pr="00AD6FA7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Pr="00AD6FA7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RPr="00AD6FA7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Pr="00AD6FA7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RPr="00AD6FA7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39"/>
                                      <w:gridCol w:w="5811"/>
                                    </w:tblGrid>
                                    <w:tr w:rsidR="005B5B40" w:rsidRPr="00AD6FA7" w:rsidTr="00E6668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5B5B40" w:rsidRPr="00AD6FA7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5B5B40" w:rsidRPr="00AD6FA7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Pr="00AD6FA7" w:rsidRDefault="00E6668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14</w:t>
                                                      </w:r>
                                                      <w:r w:rsidR="005B5B40"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Pr="00AD6FA7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Pr="00AD6FA7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5B5B40" w:rsidRPr="00AD6FA7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5B5B40" w:rsidRPr="00AD6FA7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Pr="00AD6FA7" w:rsidRDefault="00E66688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Bruno LUCAS, </w:t>
                                                      </w: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délégué général à l'emploi et à la formation professionnelle </w:t>
                                                      </w:r>
                                                    </w:p>
                                                    <w:p w:rsidR="005B5B40" w:rsidRPr="00AD6FA7" w:rsidRDefault="00E66688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Pr="00AD6FA7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Pr="00AD6FA7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66688" w:rsidRPr="00AD6FA7" w:rsidTr="00E6668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E66688" w:rsidRPr="00AD6FA7" w:rsidTr="003F757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E66688" w:rsidRPr="00AD6FA7" w:rsidTr="003F757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6688" w:rsidRPr="00AD6FA7" w:rsidRDefault="00E66688" w:rsidP="00E6668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15h00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6688" w:rsidRPr="00AD6FA7" w:rsidRDefault="00E66688" w:rsidP="00E66688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6688" w:rsidRPr="00AD6FA7" w:rsidRDefault="00E66688" w:rsidP="00E66688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E66688" w:rsidRPr="00AD6FA7" w:rsidTr="003F757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E66688" w:rsidRPr="00AD6FA7" w:rsidTr="003F757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6688" w:rsidRPr="00AD6FA7" w:rsidRDefault="00E66688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Entretien avec Jean-Hervé LORENZI, </w:t>
                                                      </w: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b/>
                                                          <w:bCs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fondateur du Cercle des économistes </w:t>
                                                      </w:r>
                                                    </w:p>
                                                    <w:p w:rsidR="00E66688" w:rsidRPr="00AD6FA7" w:rsidRDefault="00E66688" w:rsidP="00E6668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6688" w:rsidRPr="00AD6FA7" w:rsidRDefault="00E66688" w:rsidP="00E66688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6688" w:rsidRPr="00AD6FA7" w:rsidRDefault="00E66688" w:rsidP="00E66688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E66688" w:rsidRPr="00AD6FA7" w:rsidTr="00E6668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202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39"/>
                                          </w:tblGrid>
                                          <w:tr w:rsidR="00E66688" w:rsidRPr="00AD6FA7" w:rsidTr="003F757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339"/>
                                                </w:tblGrid>
                                                <w:tr w:rsidR="00E66688" w:rsidRPr="00AD6FA7" w:rsidTr="003F757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6688" w:rsidRPr="00AD6FA7" w:rsidRDefault="00E66688" w:rsidP="00E6668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lastRenderedPageBreak/>
                                                        <w:t>16h30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6688" w:rsidRPr="00AD6FA7" w:rsidRDefault="00E66688" w:rsidP="00E66688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6688" w:rsidRPr="00AD6FA7" w:rsidRDefault="00E66688" w:rsidP="00E66688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980" w:type="pct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811"/>
                                          </w:tblGrid>
                                          <w:tr w:rsidR="00E66688" w:rsidRPr="00AD6FA7" w:rsidTr="003F757B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211"/>
                                                </w:tblGrid>
                                                <w:tr w:rsidR="00E66688" w:rsidRPr="00AD6FA7" w:rsidTr="003F757B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E66688" w:rsidRPr="00AD6FA7" w:rsidRDefault="00E66688" w:rsidP="00A112B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Participation à la 4</w:t>
                                                      </w:r>
                                                      <w:r w:rsidRPr="00AD6FA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vertAlign w:val="superscript"/>
                                                          <w:lang w:eastAsia="en-US"/>
                                                        </w:rPr>
                                                        <w:t>ème</w:t>
                                                      </w:r>
                                                      <w:r w:rsidRPr="00AD6FA7"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 xml:space="preserve"> édition du Trophée des Routiers</w:t>
                                                      </w:r>
                                                    </w:p>
                                                    <w:p w:rsidR="00E66688" w:rsidRPr="00AD6FA7" w:rsidRDefault="00E66688" w:rsidP="00E66688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 w:rsidRPr="00AD6FA7"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  <w:t>Ministère du Travail, de l’Emploi et de l’Insertion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E66688" w:rsidRPr="00AD6FA7" w:rsidRDefault="00E66688" w:rsidP="00E66688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E66688" w:rsidRPr="00AD6FA7" w:rsidRDefault="00E66688" w:rsidP="00E66688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Pr="00AD6FA7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Pr="00AD6FA7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Pr="00AD6FA7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Pr="00AD6FA7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5B5B40" w:rsidRDefault="005B5B40" w:rsidP="005B5B40">
                                                <w:pPr>
                                                  <w:jc w:val="center"/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90"/>
                                      <w:gridCol w:w="256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365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19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59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000000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Secrétariat presse et communication </w:t>
                                                      </w:r>
                                                    </w:p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Ministère du Travail, de l'Emploi et de l'Insertion</w:t>
                                                      </w:r>
                                                    </w:p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Cabinet d’Elisabeth Borne</w:t>
                                                      </w:r>
                                                    </w:p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Tél : 01 49 55 32 21 </w:t>
                                                      </w:r>
                                                    </w:p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 xml:space="preserve">Mél : </w:t>
                                                      </w:r>
                                                      <w:hyperlink r:id="rId6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  <w:lang w:eastAsia="en-US"/>
                                                          </w:rPr>
                                                          <w:t>sec.presse.travail@cab.travail.gouv.fr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3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6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3"/>
                                                </w:tblGrid>
                                                <w:tr w:rsidR="005B5B40" w:rsidTr="00E263B2">
                                                  <w:trPr>
                                                    <w:trHeight w:val="1005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spacing w:line="1005" w:lineRule="exact"/>
                                                        <w:rPr>
                                                          <w:rFonts w:eastAsia="Times New Roman"/>
                                                          <w:sz w:val="101"/>
                                                          <w:szCs w:val="10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sz w:val="101"/>
                                                          <w:szCs w:val="101"/>
                                                          <w:lang w:eastAsia="en-US"/>
                                                        </w:rP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96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127, rue de Grenelle</w:t>
                                                      </w:r>
                                                    </w:p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3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lang w:eastAsia="en-US"/>
                                                        </w:rPr>
                                                        <w:t>           75007 PARIS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750"/>
                                          </w:tblGrid>
                                          <w:tr w:rsidR="005B5B40" w:rsidTr="00E263B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9150"/>
                                                </w:tblGrid>
                                                <w:tr w:rsidR="005B5B40" w:rsidTr="00E263B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5B5B40" w:rsidRDefault="005B5B40" w:rsidP="005B5B40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25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  <w:lang w:eastAsia="en-US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 xml:space="preserve">Conformément à la loi informatique et libertés du 06/01/1978 (art.27) et au Règlement Général sur la Protection des Données (Règlement UE 2016/679) ou « RGPD », vous disposez d'un droit d'accès et de rectification des données vous concernant. Vous pouvez exercer vos droits en adressant un e-mail à l’adresse </w:t>
                                                      </w:r>
                                                      <w:hyperlink r:id="rId7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0595D6"/>
                                                            <w:sz w:val="17"/>
                                                            <w:szCs w:val="17"/>
                                                            <w:lang w:eastAsia="en-US"/>
                                                          </w:rPr>
                                                          <w:t>DDC-RGPD-CAB@ddc.social.gouv.f</w:t>
                                                        </w:r>
                                                      </w:hyperlink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7"/>
                                                          <w:szCs w:val="17"/>
                                                          <w:lang w:eastAsia="en-US"/>
                                                        </w:rPr>
                                                        <w:t>r.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B5B40" w:rsidRDefault="005B5B40" w:rsidP="005B5B40">
                                                <w:pPr>
                                                  <w:rPr>
                                                    <w:rFonts w:asciiTheme="minorHAnsi" w:hAnsiTheme="minorHAnsi" w:cstheme="minorBidi"/>
                                                    <w:sz w:val="20"/>
                                                    <w:szCs w:val="20"/>
                                                    <w:lang w:eastAsia="en-US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eastAsia="Times New Roman"/>
                            <w:vanish/>
                            <w:lang w:eastAsia="en-US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050"/>
                        </w:tblGrid>
                        <w:tr w:rsidR="005B5B40" w:rsidTr="00E263B2">
                          <w:trPr>
                            <w:trHeight w:val="15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spacing w:line="150" w:lineRule="exact"/>
                                <w:rPr>
                                  <w:rFonts w:eastAsia="Times New Roman"/>
                                  <w:sz w:val="15"/>
                                  <w:szCs w:val="15"/>
                                  <w:lang w:eastAsia="en-US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5"/>
                                  <w:szCs w:val="15"/>
                                  <w:lang w:eastAsia="en-US"/>
                                </w:rPr>
                                <w:t xml:space="preserve">  </w:t>
                              </w: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  <w:tr w:rsidR="005B5B40" w:rsidTr="00E263B2">
                    <w:tblPrEx>
                      <w:shd w:val="clear" w:color="auto" w:fill="FFFFFF"/>
                    </w:tblPrEx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9750"/>
                          <w:gridCol w:w="150"/>
                        </w:tblGrid>
                        <w:tr w:rsidR="005B5B40" w:rsidTr="00E263B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eastAsia="Times New Roman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750"/>
                              </w:tblGrid>
                              <w:tr w:rsidR="005B5B40" w:rsidTr="00E263B2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750"/>
                                    </w:tblGrid>
                                    <w:tr w:rsidR="005B5B40" w:rsidTr="00E263B2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p w:rsidR="005B5B40" w:rsidRDefault="005B5B40" w:rsidP="005B5B40">
                                          <w:pPr>
                                            <w:rPr>
                                              <w:rFonts w:asciiTheme="minorHAnsi" w:hAnsiTheme="minorHAnsi" w:cstheme="minorBidi"/>
                                              <w:sz w:val="20"/>
                                              <w:szCs w:val="20"/>
                                              <w:lang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B5B40" w:rsidRDefault="005B5B40" w:rsidP="005B5B40">
                                    <w:pPr>
                                      <w:jc w:val="center"/>
                                      <w:rPr>
                                        <w:rFonts w:asciiTheme="minorHAnsi" w:hAnsiTheme="minorHAnsi" w:cstheme="minorBidi"/>
                                        <w:sz w:val="20"/>
                                        <w:szCs w:val="20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B5B40" w:rsidRDefault="005B5B40" w:rsidP="005B5B40">
                              <w:pPr>
                                <w:jc w:val="center"/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5B5B40" w:rsidRDefault="005B5B40" w:rsidP="005B5B40">
                              <w:pPr>
                                <w:rPr>
                                  <w:rFonts w:asciiTheme="minorHAnsi" w:hAnsiTheme="minorHAnsi" w:cstheme="minorBidi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B5B40" w:rsidRDefault="005B5B40" w:rsidP="005B5B40">
                        <w:pPr>
                          <w:rPr>
                            <w:rFonts w:asciiTheme="minorHAnsi" w:hAnsiTheme="minorHAnsi" w:cstheme="minorBidi"/>
                            <w:sz w:val="20"/>
                            <w:szCs w:val="20"/>
                            <w:lang w:eastAsia="en-US"/>
                          </w:rPr>
                        </w:pPr>
                      </w:p>
                    </w:tc>
                  </w:tr>
                </w:tbl>
                <w:p w:rsidR="005B5B40" w:rsidRDefault="005B5B40" w:rsidP="005B5B40">
                  <w:pPr>
                    <w:rPr>
                      <w:rFonts w:ascii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5B5B40">
              <w:trPr>
                <w:jc w:val="center"/>
              </w:trPr>
              <w:tc>
                <w:tcPr>
                  <w:tcW w:w="0" w:type="auto"/>
                </w:tcPr>
                <w:p w:rsidR="005B5B40" w:rsidRDefault="005B5B40" w:rsidP="005B5B40"/>
              </w:tc>
            </w:tr>
          </w:tbl>
          <w:p w:rsidR="005B5B40" w:rsidRDefault="005B5B40">
            <w:pPr>
              <w:jc w:val="center"/>
              <w:rPr>
                <w:rFonts w:asciiTheme="minorHAnsi" w:hAnsiTheme="minorHAnsi" w:cstheme="minorBidi"/>
                <w:sz w:val="20"/>
                <w:szCs w:val="20"/>
                <w:lang w:eastAsia="en-US"/>
              </w:rPr>
            </w:pPr>
          </w:p>
        </w:tc>
      </w:tr>
    </w:tbl>
    <w:p w:rsidR="005B5B40" w:rsidRDefault="005B5B40" w:rsidP="005B5B40">
      <w:pPr>
        <w:rPr>
          <w:rFonts w:eastAsia="Times New Roman"/>
        </w:rPr>
      </w:pPr>
    </w:p>
    <w:p w:rsidR="005B5B40" w:rsidRDefault="005B5B40" w:rsidP="005B5B40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570550" w:rsidRDefault="0031428E"/>
    <w:sectPr w:rsidR="00570550" w:rsidSect="005B5B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40"/>
    <w:rsid w:val="0013215A"/>
    <w:rsid w:val="00146195"/>
    <w:rsid w:val="0016296C"/>
    <w:rsid w:val="00186765"/>
    <w:rsid w:val="001F7CA8"/>
    <w:rsid w:val="0031428E"/>
    <w:rsid w:val="004036A4"/>
    <w:rsid w:val="0041446F"/>
    <w:rsid w:val="005A0B6E"/>
    <w:rsid w:val="005B5B40"/>
    <w:rsid w:val="0061472C"/>
    <w:rsid w:val="0062148F"/>
    <w:rsid w:val="007B7EE4"/>
    <w:rsid w:val="008F248E"/>
    <w:rsid w:val="00923196"/>
    <w:rsid w:val="0098739B"/>
    <w:rsid w:val="00A112B8"/>
    <w:rsid w:val="00A40164"/>
    <w:rsid w:val="00A80B01"/>
    <w:rsid w:val="00AD6FA7"/>
    <w:rsid w:val="00C46209"/>
    <w:rsid w:val="00D90965"/>
    <w:rsid w:val="00DC6A4F"/>
    <w:rsid w:val="00E66688"/>
    <w:rsid w:val="00ED104C"/>
    <w:rsid w:val="00F24090"/>
    <w:rsid w:val="00F8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86FE7-9EC7-4D1E-A5FB-4A3DA83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B40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B5B4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B5B40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5B5B4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16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164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590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7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8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98403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6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3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62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8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02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DC-RGPD-CAB@ddc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.presse.travail@cab.travail.gouv.fr" TargetMode="External"/><Relationship Id="rId5" Type="http://schemas.openxmlformats.org/officeDocument/2006/relationships/image" Target="http://img.sarbacane.com/5b23cd31b85b536066d9291a/templates/ioe0WFx_ROCNRooz2Mbw7Q/e6593d2900e2b4a056772e1e67f74bc42bad4d10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GLERANT, Justine (CAB/TRAVAIL)</dc:creator>
  <cp:keywords/>
  <dc:description/>
  <cp:lastModifiedBy>BEAUQUIER, Laurine (CAB/TRAVAIL)</cp:lastModifiedBy>
  <cp:revision>6</cp:revision>
  <cp:lastPrinted>2021-11-29T14:48:00Z</cp:lastPrinted>
  <dcterms:created xsi:type="dcterms:W3CDTF">2021-11-29T14:38:00Z</dcterms:created>
  <dcterms:modified xsi:type="dcterms:W3CDTF">2021-11-29T14:48:00Z</dcterms:modified>
  <cp:contentStatus/>
</cp:coreProperties>
</file>