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378D9" w:rsidTr="002378D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378D9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2378D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378D9" w:rsidRDefault="002378D9"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2378D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378D9" w:rsidRDefault="002378D9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2378D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bottomFromText="70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2378D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78D9" w:rsidRDefault="002378D9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1" name="Image 1" descr="cid:image001.png@01D740DB.5666C47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cid:image001.png@01D740DB.5666C47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r:link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78D9" w:rsidRDefault="002378D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2378D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2378D9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Paris, le 4 mai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2378D9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8"/>
                                                          <w:szCs w:val="28"/>
                                                          <w:lang w:eastAsia="en-US"/>
                                                        </w:rPr>
                                                        <w:t>CAMPAGNE DE VACCINATION COVID-19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Élisabeth Borne,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et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Laurent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Pietraszewski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secrétaire d’État chargé des Retraites et de la Santé au travail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2378D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se rendront à </w:t>
                                                      </w:r>
                                                      <w:proofErr w:type="spellStart"/>
                                                      <w:r w:rsidR="0032589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Chateaufort</w:t>
                                                      </w:r>
                                                      <w:proofErr w:type="spellEnd"/>
                                                      <w:r w:rsidR="0032589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Magny-les-Hameaux (78) 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Mercredi 5 mai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2378D9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2378D9" w:rsidRDefault="002378D9">
                                          <w:pPr>
                                            <w:spacing w:line="252" w:lineRule="auto"/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p w:rsidR="00A25E99" w:rsidRDefault="00A25E99" w:rsidP="00A25E99">
                                                <w:pPr>
                                                  <w:spacing w:line="252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Plus de 2600 médecins et infirmiers du travail sont engagés dans la campagne de vaccination contre la Covid-19. A ce jour, ils ont réalisé plus de 520 000 injections dont près de 63 500 en service de santé au travail auprès des salariés volontaires et éligibles à la vaccination. Alors que la campagne vaccinale s’accélère de jour en jour et que l’ensemble des personnes âgées de plus de 50 ans seront bientôt éligibles, la vaccination en entreprise est appelée à monter en puissance également.</w:t>
                                                </w:r>
                                              </w:p>
                                              <w:p w:rsidR="002378D9" w:rsidRDefault="002378D9">
                                                <w:pPr>
                                                  <w:spacing w:line="252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2378D9" w:rsidRDefault="00A25E99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La ministre et le secrétaire d’État se déplaceront ainsi au siège du groupe Safran pour échanger sur la campagne de vaccination menée au sein de l’entreprise avec les médecins et infirmiers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du travail </w:t>
                                                </w:r>
                                                <w:bookmarkStart w:id="1" w:name="_GoBack"/>
                                                <w:bookmarkEnd w:id="1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mobilisés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 les salariés concernés et la direction du groupe.</w:t>
                                                </w:r>
                                              </w:p>
                                              <w:p w:rsidR="00A25E99" w:rsidRDefault="00A25E99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Déroulé prévisionnel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spacing w:line="252" w:lineRule="auto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spacing w:line="252" w:lineRule="auto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Arrivée chez Safran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Rue</w:t>
                                                      </w:r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des Jeunes Bois, </w:t>
                                                      </w:r>
                                                      <w:proofErr w:type="spellStart"/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Chateaufort</w:t>
                                                      </w:r>
                                                      <w:proofErr w:type="spellEnd"/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Magny-les-Hameaux (78)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color w:val="FF000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Pool TV + Pool radio + Pool rédacteur + Pool photo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Rencontre avec les médecins et infirmières du centre médical du site Safran et les salariés participant à la session de vaccination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rStyle w:val="lev"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Pool TV + Pool radio + Pool rédacteur + Pool photo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Échanges avec les différentes parties de l’entreprise sur la campagne de vaccination interne et les perspectives de déploiement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rStyle w:val="lev"/>
                                                          <w:color w:val="FF0000"/>
                                                        </w:rPr>
                                                      </w:pP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Pool TV + Pool radio + Pool rédacteur + Pool photo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presse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Rue</w:t>
                                                      </w:r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des Jeunes Bois, </w:t>
                                                      </w:r>
                                                      <w:proofErr w:type="spellStart"/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Chateaufort</w:t>
                                                      </w:r>
                                                      <w:proofErr w:type="spellEnd"/>
                                                      <w:r w:rsidR="0032589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Magny-les-Hameaux (78)</w:t>
                                                      </w:r>
                                                    </w:p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2378D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Dispositif presse :</w:t>
                                                </w:r>
                                              </w:p>
                                              <w:p w:rsidR="002378D9" w:rsidRDefault="002378D9" w:rsidP="003727B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52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Compte tenu de la situation sanitaire, la visite du centre sera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poolée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et le nombre de journalistes présents pourra être limité.</w:t>
                                                </w:r>
                                              </w:p>
                                              <w:p w:rsidR="002378D9" w:rsidRDefault="002378D9" w:rsidP="003727B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20" w:line="252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Une note de précisions pool sera envoyée ultérieurement.</w:t>
                                                </w:r>
                                              </w:p>
                                              <w:p w:rsidR="002378D9" w:rsidRDefault="002378D9" w:rsidP="003727B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52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 port du masque sera obligatoire pendant toute la durée du déplacement.</w:t>
                                                </w:r>
                                              </w:p>
                                              <w:p w:rsidR="002378D9" w:rsidRDefault="002378D9" w:rsidP="003727B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52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Accréditation par retour de mail 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hyperlink r:id="rId7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71"/>
                                      <w:gridCol w:w="1179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8571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71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1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 w:rsidP="007752E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ienhypertexte"/>
                                                          <w:rFonts w:ascii="Arial" w:hAnsi="Arial" w:cs="Arial"/>
                                                          <w:color w:val="0595D6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79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2378D9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705" w:lineRule="exact"/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9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2378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2378D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2378D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78D9" w:rsidRDefault="002378D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8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78D9" w:rsidRDefault="002378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2378D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378D9" w:rsidRDefault="002378D9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378D9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2378D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2378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2378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378D9" w:rsidRDefault="002378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8D9" w:rsidRDefault="002378D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8D9" w:rsidRDefault="002378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378D9" w:rsidRDefault="002378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8D9" w:rsidRDefault="002378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78D9" w:rsidRDefault="002378D9">
                  <w:pPr>
                    <w:spacing w:line="252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378D9" w:rsidRDefault="002378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70550" w:rsidRDefault="00A25E99" w:rsidP="002378D9"/>
    <w:sectPr w:rsidR="00570550" w:rsidSect="0023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9"/>
    <w:rsid w:val="00146195"/>
    <w:rsid w:val="002378D9"/>
    <w:rsid w:val="0032589E"/>
    <w:rsid w:val="0041446F"/>
    <w:rsid w:val="006F66C2"/>
    <w:rsid w:val="007752ED"/>
    <w:rsid w:val="00A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3770"/>
  <w15:chartTrackingRefBased/>
  <w15:docId w15:val="{D165DAE4-5215-4B6C-9EF6-DC4FE095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78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378D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378D9"/>
    <w:rPr>
      <w:b/>
      <w:bCs/>
    </w:rPr>
  </w:style>
  <w:style w:type="character" w:styleId="Accentuation">
    <w:name w:val="Emphasis"/>
    <w:basedOn w:val="Policepardfaut"/>
    <w:uiPriority w:val="20"/>
    <w:qFormat/>
    <w:rsid w:val="00237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40DB.5666C4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3</cp:revision>
  <dcterms:created xsi:type="dcterms:W3CDTF">2021-05-04T15:41:00Z</dcterms:created>
  <dcterms:modified xsi:type="dcterms:W3CDTF">2021-05-04T15:57:00Z</dcterms:modified>
</cp:coreProperties>
</file>