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B2" w:rsidRDefault="00777CB2" w:rsidP="00777CB2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257300"/>
            <wp:effectExtent l="0" t="0" r="9525" b="0"/>
            <wp:wrapSquare wrapText="bothSides"/>
            <wp:docPr id="2" name="Image 2" descr="Ministère du Travail (France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inistère du Travail (France)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7CB2" w:rsidTr="00777CB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77CB2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77CB2" w:rsidRDefault="00777CB2">
                  <w:pPr>
                    <w:spacing w:line="150" w:lineRule="exact"/>
                  </w:pPr>
                  <w:r>
                    <w:rPr>
                      <w:sz w:val="15"/>
                      <w:szCs w:val="15"/>
                      <w:lang w:eastAsia="en-US"/>
                    </w:rPr>
                    <w:t xml:space="preserve">  </w:t>
                  </w:r>
                </w:p>
              </w:tc>
            </w:tr>
          </w:tbl>
          <w:p w:rsidR="00777CB2" w:rsidRDefault="00777CB2">
            <w:pPr>
              <w:spacing w:line="252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922"/>
              <w:gridCol w:w="18"/>
            </w:tblGrid>
            <w:tr w:rsidR="00777CB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77CB2" w:rsidRDefault="00777CB2"/>
              </w:tc>
              <w:tc>
                <w:tcPr>
                  <w:tcW w:w="990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2"/>
                  </w:tblGrid>
                  <w:tr w:rsidR="00777C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22"/>
                        </w:tblGrid>
                        <w:tr w:rsidR="00777CB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22"/>
                              </w:tblGrid>
                              <w:tr w:rsidR="00777CB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22"/>
                                    </w:tblGrid>
                                    <w:tr w:rsidR="00777C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bottomFromText="70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777CB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77CB2" w:rsidRDefault="00777CB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77CB2" w:rsidRDefault="00777CB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77CB2" w:rsidRDefault="00777CB2">
                                    <w:pPr>
                                      <w:spacing w:line="252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777CB2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7CB2" w:rsidRDefault="00777CB2">
                                          <w:pPr>
                                            <w:spacing w:line="300" w:lineRule="exact"/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7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22"/>
                                    </w:tblGrid>
                                    <w:tr w:rsidR="00777CB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lang w:eastAsia="en-US"/>
                                            </w:rPr>
                                            <w:t>NOTE AUX RÉDACTIONS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"/>
                                    </w:tblGrid>
                                    <w:tr w:rsidR="00777CB2">
                                      <w:trPr>
                                        <w:trHeight w:val="19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7CB2" w:rsidRDefault="00777CB2">
                                          <w:pPr>
                                            <w:spacing w:line="195" w:lineRule="exact"/>
                                          </w:pPr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7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22"/>
                                    </w:tblGrid>
                                    <w:tr w:rsidR="00777CB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Paris, le 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B3838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10 janvier 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2022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"/>
                                    </w:tblGrid>
                                    <w:tr w:rsidR="00777CB2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7CB2" w:rsidRDefault="00777CB2">
                                          <w:pPr>
                                            <w:spacing w:line="600" w:lineRule="exact"/>
                                          </w:pPr>
                                          <w:r>
                                            <w:rPr>
                                              <w:sz w:val="60"/>
                                              <w:szCs w:val="6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7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22"/>
                                    </w:tblGrid>
                                    <w:tr w:rsidR="00777CB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22"/>
                                          </w:tblGrid>
                                          <w:tr w:rsidR="00777CB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77CB2" w:rsidRDefault="00777CB2">
                                                <w:pPr>
                                                  <w:spacing w:line="600" w:lineRule="exact"/>
                                                  <w:jc w:val="center"/>
                                                </w:pPr>
                                                <w:bookmarkStart w:id="0" w:name="_GoBack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32"/>
                                                    <w:szCs w:val="32"/>
                                                    <w:lang w:eastAsia="en-US"/>
                                                  </w:rPr>
                                                  <w:t xml:space="preserve">Formation et emploi des jeunes </w:t>
                                                </w:r>
                                              </w:p>
                                              <w:p w:rsidR="00777CB2" w:rsidRDefault="00777CB2">
                                                <w:pPr>
                                                  <w:spacing w:line="600" w:lineRule="exact"/>
                                                  <w:jc w:val="center"/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32"/>
                                                    <w:szCs w:val="32"/>
                                                    <w:lang w:eastAsia="en-US"/>
                                                  </w:rPr>
                                                  <w:t>dans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32"/>
                                                    <w:szCs w:val="32"/>
                                                    <w:lang w:eastAsia="en-US"/>
                                                  </w:rPr>
                                                  <w:t xml:space="preserve"> le secteur de la restauration :</w:t>
                                                </w:r>
                                              </w:p>
                                              <w:p w:rsidR="00777CB2" w:rsidRDefault="00777CB2">
                                                <w:pPr>
                                                  <w:spacing w:line="600" w:lineRule="exact"/>
                                                  <w:jc w:val="center"/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32"/>
                                                    <w:szCs w:val="32"/>
                                                    <w:lang w:eastAsia="en-US"/>
                                                  </w:rPr>
                                                  <w:t>visite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32"/>
                                                    <w:szCs w:val="32"/>
                                                    <w:lang w:eastAsia="en-US"/>
                                                  </w:rPr>
                                                  <w:t xml:space="preserve"> du CFA des Chefs</w:t>
                                                </w:r>
                                              </w:p>
                                              <w:bookmarkEnd w:id="0"/>
                                              <w:p w:rsidR="00777CB2" w:rsidRDefault="00777CB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77CB2" w:rsidRDefault="00777CB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lang w:eastAsia="en-US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777CB2" w:rsidRDefault="00777CB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93939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  <w:t>Élisabeth Borne</w:t>
                                                </w:r>
                                              </w:p>
                                              <w:p w:rsidR="00777CB2" w:rsidRDefault="00777CB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30" w:lineRule="exac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3B3838"/>
                                                    <w:sz w:val="26"/>
                                                    <w:szCs w:val="26"/>
                                                    <w:lang w:eastAsia="en-US"/>
                                                  </w:rPr>
                                                  <w:t>ministre du Travail, de l’Emploi et de l’Insertion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77CB2" w:rsidRDefault="00777CB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777CB2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7CB2" w:rsidRDefault="00777CB2">
                                          <w:pPr>
                                            <w:spacing w:line="300" w:lineRule="exact"/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7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22"/>
                                    </w:tblGrid>
                                    <w:tr w:rsidR="00777CB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>se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 xml:space="preserve"> rendra dans les locaux du CFA des Chefs du lycée-CFA Belliard à Paris (18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vertAlign w:val="superscript"/>
                                              <w:lang w:eastAsia="en-US"/>
                                            </w:rPr>
                                            <w:t>ème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>)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>Mardi 11 janvier 2022 à 17H30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Elisabeth Borne, ministre du Travail, de l’Emploi et de l’Insertion, assistera mardi 11 janvier 2022 à l’inauguration-anniversaire du CFA des Chefs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, dédié à la formation aux métiers de la restauration.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Les jeunes en apprentissage dans ce CFA bénéficient d’un parcours d’excellence, composé de plusieurs niveaux de formations diplômantes et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certifiantes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(Titre professionnel Cuisinier, CAP Cuisine, Bac Pro Cuisine, Brevet Professionnel Arts Culinaires).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Co-fondé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par des acteurs clés du secteur (Accor,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AccorInvest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, Adecco,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Korian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et Sodexo),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ce CFA interentreprises assure une insertion optimale des jeunes sur le marché du travail,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en garantissant à l’ensemble de ses apprentis une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entreprise d’accueil pour leur alternance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, mais aussi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une opportunité d’emploi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dans l’un des cinq groupes fondateurs du CFA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à la suite de leur formation. 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L’apprentissage est une voie d’avenir pour les jeunes mais aussi pour le secteur de l’hôtellerie-restauration, qui fait face à des tensions de recrutement. Pour les apprentis, la formation en alternance représente une garantie d’insertion sur le marché du travail et des perspectives d’évolution professionnelle. Grâce aux aides du plan « 1 jeune, 1 solution », le développement de l’apprentissage atteint aujourd’hui des chiffres records avec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près de 700 000 contrats d’apprentissage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 xml:space="preserve"> dans les secteurs privé et public. 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Elisabeth Borne participera à une table ronde, avec différents acteurs du projet et des apprentis, qui livreront leurs témoignages sur la formation et l’emploi des jeunes dans la restauration.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77CB2" w:rsidRDefault="00777CB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7CB2" w:rsidRDefault="00777CB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77CB2" w:rsidRDefault="00777CB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CB2" w:rsidRDefault="00777CB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777CB2" w:rsidRDefault="00777C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77CB2" w:rsidRDefault="00777C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77CB2" w:rsidRDefault="00777CB2" w:rsidP="00777CB2">
      <w:pPr>
        <w:spacing w:line="252" w:lineRule="auto"/>
      </w:pPr>
      <w:r>
        <w:rPr>
          <w:rFonts w:ascii="Arial" w:hAnsi="Arial" w:cs="Arial"/>
          <w:color w:val="393939"/>
          <w:sz w:val="21"/>
          <w:szCs w:val="21"/>
          <w:u w:val="single"/>
          <w:lang w:eastAsia="en-US"/>
        </w:rPr>
        <w:lastRenderedPageBreak/>
        <w:t xml:space="preserve">Déroulé prévisionnel : </w:t>
      </w:r>
    </w:p>
    <w:p w:rsidR="00777CB2" w:rsidRDefault="00777CB2" w:rsidP="00777CB2">
      <w:pPr>
        <w:spacing w:line="252" w:lineRule="auto"/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777CB2" w:rsidRDefault="00777CB2" w:rsidP="00777CB2">
      <w:pPr>
        <w:spacing w:line="252" w:lineRule="auto"/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7479"/>
      </w:tblGrid>
      <w:tr w:rsidR="00777CB2" w:rsidTr="00777CB2">
        <w:trPr>
          <w:jc w:val="center"/>
        </w:trPr>
        <w:tc>
          <w:tcPr>
            <w:tcW w:w="918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3"/>
            </w:tblGrid>
            <w:tr w:rsidR="00777CB2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16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0"/>
                  </w:tblGrid>
                  <w:tr w:rsidR="00777CB2" w:rsidTr="00777CB2">
                    <w:trPr>
                      <w:trHeight w:val="111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7CB2" w:rsidRDefault="00777CB2" w:rsidP="00777CB2">
                        <w:pPr>
                          <w:pStyle w:val="NormalWeb"/>
                          <w:spacing w:before="0" w:beforeAutospacing="0" w:after="0" w:afterAutospacing="0" w:line="390" w:lineRule="exact"/>
                          <w:ind w:firstLine="284"/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17h30</w:t>
                        </w:r>
                      </w:p>
                    </w:tc>
                  </w:tr>
                </w:tbl>
                <w:p w:rsidR="00777CB2" w:rsidRDefault="00777C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77CB2" w:rsidRDefault="00777C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2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9"/>
            </w:tblGrid>
            <w:tr w:rsidR="00777CB2">
              <w:trPr>
                <w:trHeight w:val="1258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4955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17"/>
                  </w:tblGrid>
                  <w:tr w:rsidR="00777CB2">
                    <w:trPr>
                      <w:trHeight w:val="793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7CB2" w:rsidRDefault="00777CB2" w:rsidP="00777CB2">
                        <w:pPr>
                          <w:pStyle w:val="NormalWeb"/>
                          <w:spacing w:after="0" w:afterAutospacing="0" w:line="330" w:lineRule="atLeast"/>
                          <w:ind w:left="253"/>
                          <w:jc w:val="both"/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 xml:space="preserve">Accueil Républicain </w:t>
                        </w:r>
                      </w:p>
                      <w:p w:rsidR="00777CB2" w:rsidRDefault="00777CB2" w:rsidP="00777CB2">
                        <w:pPr>
                          <w:pStyle w:val="NormalWeb"/>
                          <w:spacing w:before="0" w:beforeAutospacing="0" w:after="0" w:afterAutospacing="0" w:line="390" w:lineRule="exact"/>
                          <w:ind w:left="253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393939"/>
                            <w:sz w:val="21"/>
                            <w:szCs w:val="21"/>
                            <w:lang w:eastAsia="en-US"/>
                          </w:rPr>
                          <w:t>Lycée-CFA Belliard, 135 rue Belliard, Paris (18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393939"/>
                            <w:sz w:val="21"/>
                            <w:szCs w:val="21"/>
                            <w:vertAlign w:val="superscript"/>
                            <w:lang w:eastAsia="en-US"/>
                          </w:rPr>
                          <w:t>ème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393939"/>
                            <w:sz w:val="21"/>
                            <w:szCs w:val="21"/>
                            <w:lang w:eastAsia="en-US"/>
                          </w:rPr>
                          <w:t>)</w:t>
                        </w:r>
                      </w:p>
                      <w:p w:rsidR="00777CB2" w:rsidRDefault="00777CB2" w:rsidP="00777CB2">
                        <w:pPr>
                          <w:pStyle w:val="NormalWeb"/>
                          <w:spacing w:before="0" w:beforeAutospacing="0" w:after="0" w:afterAutospacing="0" w:line="390" w:lineRule="exact"/>
                          <w:ind w:left="253"/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FF0000"/>
                            <w:sz w:val="21"/>
                            <w:szCs w:val="21"/>
                            <w:lang w:eastAsia="en-US"/>
                          </w:rPr>
                          <w:t>Toute presse accréditée</w:t>
                        </w:r>
                      </w:p>
                    </w:tc>
                  </w:tr>
                  <w:tr w:rsidR="00777CB2">
                    <w:trPr>
                      <w:trHeight w:val="52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7CB2" w:rsidRDefault="00777CB2" w:rsidP="00777CB2">
                        <w:pPr>
                          <w:pStyle w:val="NormalWeb"/>
                          <w:spacing w:after="0" w:afterAutospacing="0" w:line="330" w:lineRule="atLeast"/>
                          <w:ind w:left="253"/>
                          <w:jc w:val="both"/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777CB2" w:rsidRDefault="00777CB2" w:rsidP="00777CB2">
                  <w:pPr>
                    <w:ind w:left="253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77CB2" w:rsidRDefault="00777CB2" w:rsidP="00777CB2">
            <w:pPr>
              <w:ind w:left="253"/>
              <w:rPr>
                <w:rFonts w:eastAsia="Times New Roman"/>
                <w:sz w:val="20"/>
                <w:szCs w:val="20"/>
              </w:rPr>
            </w:pPr>
          </w:p>
        </w:tc>
      </w:tr>
      <w:tr w:rsidR="00777CB2" w:rsidTr="00777CB2">
        <w:trPr>
          <w:jc w:val="center"/>
        </w:trPr>
        <w:tc>
          <w:tcPr>
            <w:tcW w:w="918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3"/>
            </w:tblGrid>
            <w:tr w:rsidR="00777CB2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"/>
                  </w:tblGrid>
                  <w:tr w:rsidR="00777CB2">
                    <w:tc>
                      <w:tcPr>
                        <w:tcW w:w="0" w:type="auto"/>
                        <w:vAlign w:val="center"/>
                        <w:hideMark/>
                      </w:tcPr>
                      <w:p w:rsidR="00777CB2" w:rsidRDefault="00777CB2">
                        <w:pPr>
                          <w:pStyle w:val="NormalWeb"/>
                          <w:spacing w:before="0" w:beforeAutospacing="0" w:after="0" w:afterAutospacing="0" w:line="390" w:lineRule="exact"/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17h35</w:t>
                        </w:r>
                      </w:p>
                    </w:tc>
                  </w:tr>
                </w:tbl>
                <w:p w:rsidR="00777CB2" w:rsidRDefault="00777C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77CB2" w:rsidRDefault="00777C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2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9"/>
            </w:tblGrid>
            <w:tr w:rsidR="00777CB2">
              <w:trPr>
                <w:trHeight w:val="850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4987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61"/>
                  </w:tblGrid>
                  <w:tr w:rsidR="00777CB2">
                    <w:trPr>
                      <w:trHeight w:val="587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7CB2" w:rsidRDefault="00777CB2" w:rsidP="00777CB2">
                        <w:pPr>
                          <w:pStyle w:val="NormalWeb"/>
                          <w:spacing w:after="0" w:afterAutospacing="0" w:line="330" w:lineRule="atLeast"/>
                          <w:ind w:left="253"/>
                          <w:jc w:val="both"/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 xml:space="preserve">Table ronde sur l’apprentissage dans les métiers de la restauration </w:t>
                        </w:r>
                      </w:p>
                      <w:p w:rsidR="00777CB2" w:rsidRDefault="00777CB2" w:rsidP="00777CB2">
                        <w:pPr>
                          <w:pStyle w:val="NormalWeb"/>
                          <w:spacing w:before="0" w:beforeAutospacing="0" w:after="0" w:afterAutospacing="0" w:line="390" w:lineRule="exact"/>
                          <w:ind w:left="253"/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FF0000"/>
                            <w:sz w:val="21"/>
                            <w:szCs w:val="21"/>
                            <w:lang w:eastAsia="en-US"/>
                          </w:rPr>
                          <w:t>Toute presse accréditée</w:t>
                        </w:r>
                      </w:p>
                    </w:tc>
                  </w:tr>
                </w:tbl>
                <w:p w:rsidR="00777CB2" w:rsidRDefault="00777CB2" w:rsidP="00777CB2">
                  <w:pPr>
                    <w:ind w:left="253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77CB2" w:rsidRDefault="00777CB2" w:rsidP="00777CB2">
            <w:pPr>
              <w:ind w:left="253"/>
              <w:rPr>
                <w:rFonts w:eastAsia="Times New Roman"/>
                <w:sz w:val="20"/>
                <w:szCs w:val="20"/>
              </w:rPr>
            </w:pPr>
          </w:p>
        </w:tc>
      </w:tr>
      <w:tr w:rsidR="00777CB2" w:rsidTr="00777CB2">
        <w:trPr>
          <w:jc w:val="center"/>
        </w:trPr>
        <w:tc>
          <w:tcPr>
            <w:tcW w:w="918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3"/>
            </w:tblGrid>
            <w:tr w:rsidR="00777CB2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"/>
                  </w:tblGrid>
                  <w:tr w:rsidR="00777CB2">
                    <w:tc>
                      <w:tcPr>
                        <w:tcW w:w="0" w:type="auto"/>
                        <w:vAlign w:val="center"/>
                        <w:hideMark/>
                      </w:tcPr>
                      <w:p w:rsidR="00777CB2" w:rsidRDefault="00777CB2">
                        <w:pPr>
                          <w:pStyle w:val="NormalWeb"/>
                          <w:spacing w:before="0" w:beforeAutospacing="0" w:after="0" w:afterAutospacing="0" w:line="390" w:lineRule="exact"/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18h20</w:t>
                        </w:r>
                      </w:p>
                    </w:tc>
                  </w:tr>
                </w:tbl>
                <w:p w:rsidR="00777CB2" w:rsidRDefault="00777C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77CB2" w:rsidRDefault="00777C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2" w:type="pct"/>
            <w:hideMark/>
          </w:tcPr>
          <w:tbl>
            <w:tblPr>
              <w:tblW w:w="499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9"/>
            </w:tblGrid>
            <w:tr w:rsidR="00777CB2">
              <w:trPr>
                <w:trHeight w:val="566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1164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43"/>
                  </w:tblGrid>
                  <w:tr w:rsidR="00777CB2">
                    <w:trPr>
                      <w:trHeight w:val="545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7CB2" w:rsidRDefault="00777CB2" w:rsidP="00777CB2">
                        <w:pPr>
                          <w:pStyle w:val="NormalWeb"/>
                          <w:spacing w:before="0" w:beforeAutospacing="0" w:after="0" w:afterAutospacing="0" w:line="390" w:lineRule="exact"/>
                          <w:ind w:left="253" w:firstLine="314"/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 xml:space="preserve">Atelier cuisine et échanges avec une classe d’apprentis </w:t>
                        </w:r>
                      </w:p>
                      <w:p w:rsidR="00777CB2" w:rsidRDefault="00777CB2" w:rsidP="00777CB2">
                        <w:pPr>
                          <w:pStyle w:val="NormalWeb"/>
                          <w:spacing w:before="0" w:beforeAutospacing="0" w:after="0" w:afterAutospacing="0" w:line="390" w:lineRule="exact"/>
                          <w:ind w:left="253" w:firstLine="314"/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FF0000"/>
                            <w:sz w:val="21"/>
                            <w:szCs w:val="21"/>
                            <w:lang w:eastAsia="en-US"/>
                          </w:rPr>
                          <w:t>Toute presse accréditée</w:t>
                        </w:r>
                      </w:p>
                    </w:tc>
                  </w:tr>
                </w:tbl>
                <w:p w:rsidR="00777CB2" w:rsidRDefault="00777CB2" w:rsidP="00777CB2">
                  <w:pPr>
                    <w:ind w:left="253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77CB2" w:rsidRDefault="00777CB2" w:rsidP="00777CB2">
            <w:pPr>
              <w:ind w:left="253"/>
              <w:rPr>
                <w:rFonts w:eastAsia="Times New Roman"/>
                <w:sz w:val="20"/>
                <w:szCs w:val="20"/>
              </w:rPr>
            </w:pPr>
          </w:p>
        </w:tc>
      </w:tr>
      <w:tr w:rsidR="00777CB2" w:rsidTr="00777CB2">
        <w:trPr>
          <w:jc w:val="center"/>
        </w:trPr>
        <w:tc>
          <w:tcPr>
            <w:tcW w:w="918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3"/>
            </w:tblGrid>
            <w:tr w:rsidR="00777CB2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"/>
                  </w:tblGrid>
                  <w:tr w:rsidR="00777CB2">
                    <w:tc>
                      <w:tcPr>
                        <w:tcW w:w="0" w:type="auto"/>
                        <w:vAlign w:val="center"/>
                        <w:hideMark/>
                      </w:tcPr>
                      <w:p w:rsidR="00777CB2" w:rsidRDefault="00777CB2">
                        <w:pPr>
                          <w:pStyle w:val="NormalWeb"/>
                          <w:spacing w:before="0" w:beforeAutospacing="0" w:after="0" w:afterAutospacing="0" w:line="390" w:lineRule="exact"/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>18h50</w:t>
                        </w:r>
                      </w:p>
                    </w:tc>
                  </w:tr>
                </w:tbl>
                <w:p w:rsidR="00777CB2" w:rsidRDefault="00777C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77CB2" w:rsidRDefault="00777C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82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9"/>
            </w:tblGrid>
            <w:tr w:rsidR="00777CB2"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9"/>
                  </w:tblGrid>
                  <w:tr w:rsidR="00777CB2">
                    <w:tc>
                      <w:tcPr>
                        <w:tcW w:w="0" w:type="auto"/>
                        <w:vAlign w:val="center"/>
                        <w:hideMark/>
                      </w:tcPr>
                      <w:p w:rsidR="00777CB2" w:rsidRDefault="00777CB2" w:rsidP="00777CB2">
                        <w:pPr>
                          <w:pStyle w:val="NormalWeb"/>
                          <w:spacing w:after="0" w:afterAutospacing="0" w:line="330" w:lineRule="atLeast"/>
                          <w:ind w:left="253"/>
                          <w:jc w:val="both"/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393939"/>
                            <w:sz w:val="21"/>
                            <w:szCs w:val="21"/>
                            <w:lang w:eastAsia="en-US"/>
                          </w:rPr>
                          <w:t xml:space="preserve">Point presse en format micro tendu </w:t>
                        </w:r>
                      </w:p>
                      <w:p w:rsidR="00777CB2" w:rsidRDefault="00777CB2" w:rsidP="00777CB2">
                        <w:pPr>
                          <w:pStyle w:val="NormalWeb"/>
                          <w:spacing w:before="0" w:beforeAutospacing="0" w:after="0" w:afterAutospacing="0" w:line="390" w:lineRule="exact"/>
                          <w:ind w:left="253"/>
                        </w:pPr>
                        <w:r>
                          <w:rPr>
                            <w:rStyle w:val="lev"/>
                            <w:rFonts w:ascii="Arial" w:hAnsi="Arial" w:cs="Arial"/>
                            <w:color w:val="FF0000"/>
                            <w:sz w:val="21"/>
                            <w:szCs w:val="21"/>
                            <w:lang w:eastAsia="en-US"/>
                          </w:rPr>
                          <w:t>Toute presse accréditée</w:t>
                        </w:r>
                      </w:p>
                    </w:tc>
                  </w:tr>
                </w:tbl>
                <w:p w:rsidR="00777CB2" w:rsidRDefault="00777CB2" w:rsidP="00777CB2">
                  <w:pPr>
                    <w:ind w:left="253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77CB2" w:rsidRDefault="00777CB2" w:rsidP="00777CB2">
            <w:pPr>
              <w:ind w:left="253"/>
              <w:rPr>
                <w:rFonts w:eastAsia="Times New Roman"/>
                <w:sz w:val="20"/>
                <w:szCs w:val="20"/>
              </w:rPr>
            </w:pPr>
          </w:p>
        </w:tc>
      </w:tr>
      <w:tr w:rsidR="00777CB2" w:rsidTr="00777CB2">
        <w:trPr>
          <w:jc w:val="center"/>
        </w:trPr>
        <w:tc>
          <w:tcPr>
            <w:tcW w:w="918" w:type="pct"/>
            <w:hideMark/>
          </w:tcPr>
          <w:p w:rsidR="00777CB2" w:rsidRDefault="00777CB2">
            <w:pPr>
              <w:spacing w:after="160" w:line="252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82" w:type="pct"/>
            <w:hideMark/>
          </w:tcPr>
          <w:p w:rsidR="00777CB2" w:rsidRDefault="00777CB2">
            <w:pPr>
              <w:spacing w:after="160" w:line="252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</w:tr>
    </w:tbl>
    <w:p w:rsidR="00777CB2" w:rsidRDefault="00777CB2" w:rsidP="00777CB2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7CB2" w:rsidTr="00777CB2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8826"/>
              <w:gridCol w:w="123"/>
            </w:tblGrid>
            <w:tr w:rsidR="00777CB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77CB2" w:rsidRDefault="00777CB2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6"/>
                  </w:tblGrid>
                  <w:tr w:rsidR="00777C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6"/>
                        </w:tblGrid>
                        <w:tr w:rsidR="00777CB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6"/>
                              </w:tblGrid>
                              <w:tr w:rsidR="00777CB2" w:rsidTr="00777CB2">
                                <w:trPr>
                                  <w:trHeight w:val="130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777CB2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7CB2" w:rsidRDefault="00777CB2">
                                          <w:pPr>
                                            <w:spacing w:line="300" w:lineRule="exact"/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77CB2" w:rsidRDefault="00777CB2">
                                    <w:pPr>
                                      <w:pStyle w:val="NormalWeb"/>
                                      <w:spacing w:before="0" w:beforeAutospacing="0" w:after="0" w:afterAutospacing="0" w:line="390" w:lineRule="exact"/>
                                    </w:pP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Dispositif presse :</w:t>
                                    </w:r>
                                  </w:p>
                                  <w:p w:rsidR="00777CB2" w:rsidRDefault="00777CB2" w:rsidP="00DF2D6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252" w:lineRule="auto"/>
                                      <w:jc w:val="both"/>
                                      <w:rPr>
                                        <w:rFonts w:eastAsia="Times New Roman"/>
                                        <w:color w:val="26262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Compte tenu de la situation sanitaire, le nombre de journalistes présents pourra être limité.</w:t>
                                    </w:r>
                                  </w:p>
                                  <w:p w:rsidR="00777CB2" w:rsidRDefault="00777CB2" w:rsidP="00DF2D6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252" w:lineRule="auto"/>
                                      <w:jc w:val="both"/>
                                      <w:rPr>
                                        <w:rFonts w:eastAsia="Times New Roman"/>
                                        <w:color w:val="26262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>Le port du masque sera obligatoire pendant toute la durée du déplacement.</w:t>
                                    </w:r>
                                  </w:p>
                                  <w:p w:rsidR="00777CB2" w:rsidRPr="00777CB2" w:rsidRDefault="00777CB2" w:rsidP="00DF2D6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252" w:lineRule="auto"/>
                                      <w:jc w:val="both"/>
                                      <w:rPr>
                                        <w:rFonts w:eastAsia="Times New Roman"/>
                                        <w:color w:val="262626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Accréditations par retour de mail : </w:t>
                                    </w:r>
                                    <w:hyperlink r:id="rId6" w:history="1">
                                      <w:r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sz w:val="21"/>
                                          <w:szCs w:val="21"/>
                                          <w:lang w:eastAsia="en-US"/>
                                        </w:rPr>
                                        <w:t>sec.presse.travail@cab.travail.gouv.fr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  <w:t xml:space="preserve"> </w:t>
                                    </w:r>
                                  </w:p>
                                  <w:p w:rsidR="00777CB2" w:rsidRDefault="00777CB2" w:rsidP="00777CB2">
                                    <w:pPr>
                                      <w:spacing w:line="252" w:lineRule="auto"/>
                                      <w:ind w:left="72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</w:pPr>
                                  </w:p>
                                  <w:p w:rsidR="00777CB2" w:rsidRDefault="00777CB2" w:rsidP="00777CB2">
                                    <w:pPr>
                                      <w:spacing w:line="252" w:lineRule="auto"/>
                                      <w:ind w:left="72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</w:pPr>
                                  </w:p>
                                  <w:p w:rsidR="00777CB2" w:rsidRDefault="00777CB2" w:rsidP="00777CB2">
                                    <w:pPr>
                                      <w:spacing w:line="252" w:lineRule="auto"/>
                                      <w:ind w:left="72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</w:pPr>
                                  </w:p>
                                  <w:p w:rsidR="00777CB2" w:rsidRDefault="00777CB2" w:rsidP="00777CB2">
                                    <w:pPr>
                                      <w:spacing w:line="252" w:lineRule="auto"/>
                                      <w:ind w:left="720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262626"/>
                                        <w:sz w:val="21"/>
                                        <w:szCs w:val="21"/>
                                        <w:lang w:eastAsia="en-US"/>
                                      </w:rPr>
                                    </w:pPr>
                                  </w:p>
                                  <w:p w:rsidR="00777CB2" w:rsidRDefault="00777CB2" w:rsidP="00777CB2">
                                    <w:pPr>
                                      <w:spacing w:line="252" w:lineRule="auto"/>
                                      <w:ind w:left="720"/>
                                      <w:jc w:val="both"/>
                                      <w:rPr>
                                        <w:rFonts w:eastAsia="Times New Roman"/>
                                        <w:color w:val="262626"/>
                                      </w:rPr>
                                    </w:pPr>
                                  </w:p>
                                  <w:p w:rsidR="00777CB2" w:rsidRDefault="00777CB2">
                                    <w:pPr>
                                      <w:spacing w:line="252" w:lineRule="auto"/>
                                      <w:ind w:left="720"/>
                                      <w:jc w:val="both"/>
                                    </w:pPr>
                                    <w:r>
                                      <w:rPr>
                                        <w:lang w:eastAsia="en-US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77CB2" w:rsidRDefault="00777CB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77CB2" w:rsidRDefault="00777CB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CB2" w:rsidRDefault="00777CB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77CB2" w:rsidRDefault="00777C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77CB2" w:rsidRDefault="00777C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77CB2" w:rsidTr="00777CB2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  <w:gridCol w:w="8827"/>
              <w:gridCol w:w="123"/>
            </w:tblGrid>
            <w:tr w:rsidR="00777CB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77CB2" w:rsidRDefault="00777C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7"/>
                  </w:tblGrid>
                  <w:tr w:rsidR="00777C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9"/>
                          <w:gridCol w:w="2318"/>
                        </w:tblGrid>
                        <w:tr w:rsidR="00777CB2">
                          <w:trPr>
                            <w:jc w:val="center"/>
                          </w:trPr>
                          <w:tc>
                            <w:tcPr>
                              <w:tcW w:w="3687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9"/>
                              </w:tblGrid>
                              <w:tr w:rsidR="00777CB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bottomFromText="7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9"/>
                                    </w:tblGrid>
                                    <w:tr w:rsidR="00777CB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Secrétariat presse et communication : 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Cabinet d’Élisabeth Borne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B3838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Mél : 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  <w:lang w:eastAsia="en-US"/>
                                              </w:rPr>
                                              <w:t>sec.presse.travail@cab.travail.gouv.fr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77CB2" w:rsidRDefault="00777CB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7CB2" w:rsidRDefault="00777CB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13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8"/>
                              </w:tblGrid>
                              <w:tr w:rsidR="00777CB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bottomFromText="7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8"/>
                                    </w:tblGrid>
                                    <w:tr w:rsidR="00777CB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127, rue de Grenelle</w:t>
                                          </w:r>
                                        </w:p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77CB2" w:rsidRDefault="00777CB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7CB2" w:rsidRDefault="00777CB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77CB2">
                          <w:trPr>
                            <w:jc w:val="center"/>
                          </w:trPr>
                          <w:tc>
                            <w:tcPr>
                              <w:tcW w:w="3687" w:type="pct"/>
                              <w:hideMark/>
                            </w:tcPr>
                            <w:p w:rsidR="00777CB2" w:rsidRDefault="00777CB2">
                              <w:pPr>
                                <w:spacing w:line="252" w:lineRule="auto"/>
                              </w:pPr>
                              <w:r>
                                <w:rPr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13" w:type="pct"/>
                              <w:hideMark/>
                            </w:tcPr>
                            <w:p w:rsidR="00777CB2" w:rsidRDefault="00777CB2">
                              <w:pPr>
                                <w:spacing w:line="252" w:lineRule="auto"/>
                              </w:pPr>
                              <w:r>
                                <w:rPr>
                                  <w:lang w:eastAsia="en-US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77CB2" w:rsidRDefault="00777CB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CB2" w:rsidRDefault="00777CB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77CB2" w:rsidRDefault="00777C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77CB2" w:rsidRDefault="00777C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77CB2" w:rsidRDefault="00777CB2" w:rsidP="00777CB2">
      <w:pPr>
        <w:spacing w:line="252" w:lineRule="auto"/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7CB2" w:rsidTr="00777CB2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777CB2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77CB2" w:rsidRDefault="00777CB2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777C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777CB2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777CB2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777CB2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7CB2" w:rsidRDefault="00777CB2">
                                          <w:pPr>
                                            <w:spacing w:line="300" w:lineRule="exact"/>
                                          </w:pPr>
                                          <w:r>
                                            <w:rPr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bottomFromText="7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777CB2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77CB2" w:rsidRDefault="00777CB2">
                                          <w:pPr>
                                            <w:pStyle w:val="NormalWeb"/>
                                            <w:spacing w:before="0" w:beforeAutospacing="0" w:after="0" w:afterAutospacing="0" w:line="225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</w:r>
                                          <w:hyperlink r:id="rId8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7"/>
                                                <w:szCs w:val="17"/>
                                                <w:lang w:eastAsia="en-US"/>
                                              </w:rPr>
                                              <w:t>DDC-RGPD-CAB@ddc.social.gouv.fr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77CB2" w:rsidRDefault="00777CB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7CB2" w:rsidRDefault="00777CB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77CB2" w:rsidRDefault="00777CB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7CB2" w:rsidRDefault="00777CB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77CB2" w:rsidRDefault="00777CB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77CB2" w:rsidRDefault="00777CB2">
            <w:pPr>
              <w:spacing w:line="252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77CB2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77CB2" w:rsidRDefault="00777CB2">
                  <w:pPr>
                    <w:spacing w:line="150" w:lineRule="exact"/>
                  </w:pPr>
                  <w:r>
                    <w:rPr>
                      <w:sz w:val="15"/>
                      <w:szCs w:val="15"/>
                      <w:lang w:eastAsia="en-US"/>
                    </w:rPr>
                    <w:t xml:space="preserve">  </w:t>
                  </w:r>
                </w:p>
              </w:tc>
            </w:tr>
          </w:tbl>
          <w:p w:rsidR="00777CB2" w:rsidRDefault="00777C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6E16" w:rsidRDefault="004A6E16"/>
    <w:sectPr w:rsidR="004A6E16" w:rsidSect="00777CB2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41F9"/>
    <w:multiLevelType w:val="multilevel"/>
    <w:tmpl w:val="49D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B2"/>
    <w:rsid w:val="004A6E16"/>
    <w:rsid w:val="007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524B"/>
  <w15:chartTrackingRefBased/>
  <w15:docId w15:val="{E21A438F-7D04-4B4F-AA4A-4E57A506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CB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7CB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77CB2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77CB2"/>
    <w:rPr>
      <w:b/>
      <w:bCs/>
    </w:rPr>
  </w:style>
  <w:style w:type="character" w:styleId="Accentuation">
    <w:name w:val="Emphasis"/>
    <w:basedOn w:val="Policepardfaut"/>
    <w:uiPriority w:val="20"/>
    <w:qFormat/>
    <w:rsid w:val="00777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C-RGPD-CAB@ddc.socia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presse.travail@cab.travai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.presse.travail@cab.travail.gouv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526</Words>
  <Characters>2898</Characters>
  <Application>Microsoft Office Word</Application>
  <DocSecurity>0</DocSecurity>
  <Lines>24</Lines>
  <Paragraphs>6</Paragraphs>
  <ScaleCrop>false</ScaleCrop>
  <Company>PPT/DSI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MARIE, Néziha (CAB/TRAVAIL)</dc:creator>
  <cp:keywords/>
  <dc:description/>
  <cp:lastModifiedBy>MARIE, Néziha (CAB/TRAVAIL)</cp:lastModifiedBy>
  <cp:revision>2</cp:revision>
  <dcterms:created xsi:type="dcterms:W3CDTF">2022-01-10T16:45:00Z</dcterms:created>
  <dcterms:modified xsi:type="dcterms:W3CDTF">2022-01-10T16:56:00Z</dcterms:modified>
</cp:coreProperties>
</file>