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51" w:rsidRDefault="00624936" w:rsidP="00624936">
      <w:pPr>
        <w:jc w:val="center"/>
      </w:pPr>
      <w:r w:rsidRPr="00EF011F">
        <w:rPr>
          <w:b/>
          <w:sz w:val="32"/>
          <w:szCs w:val="32"/>
        </w:rPr>
        <w:t>Fiche technique</w:t>
      </w:r>
      <w:r w:rsidR="00343251" w:rsidRPr="00343251">
        <w:t xml:space="preserve"> </w:t>
      </w:r>
    </w:p>
    <w:p w:rsidR="00CC09EB" w:rsidRPr="00EF011F" w:rsidRDefault="00CC09EB" w:rsidP="00CC09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Pompier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0DA3" w:rsidTr="00FA61BD">
        <w:tc>
          <w:tcPr>
            <w:tcW w:w="9212" w:type="dxa"/>
            <w:shd w:val="clear" w:color="auto" w:fill="92D050"/>
          </w:tcPr>
          <w:p w:rsidR="00B20DA3" w:rsidRDefault="00F54A27" w:rsidP="00F3542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20DA3">
              <w:rPr>
                <w:b/>
              </w:rPr>
              <w:t xml:space="preserve">omenclature </w:t>
            </w:r>
            <w:r w:rsidR="00F35423">
              <w:rPr>
                <w:b/>
              </w:rPr>
              <w:t>PCS</w:t>
            </w:r>
            <w:r w:rsidR="00B20DA3">
              <w:rPr>
                <w:b/>
              </w:rPr>
              <w:t xml:space="preserve"> ESE</w:t>
            </w:r>
          </w:p>
        </w:tc>
      </w:tr>
      <w:tr w:rsidR="00B20DA3" w:rsidRPr="00B20DA3" w:rsidTr="00B20DA3">
        <w:tc>
          <w:tcPr>
            <w:tcW w:w="9212" w:type="dxa"/>
          </w:tcPr>
          <w:p w:rsidR="004F66EB" w:rsidRDefault="00F54A27" w:rsidP="002000B2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PCS ESE : </w:t>
            </w:r>
            <w:r w:rsidR="00CC09EB" w:rsidRPr="002000B2">
              <w:rPr>
                <w:rFonts w:ascii="Times New Roman" w:hAnsi="Times New Roman" w:cs="Times New Roman"/>
                <w:sz w:val="24"/>
                <w:szCs w:val="24"/>
              </w:rPr>
              <w:t>533a: Pompiers</w:t>
            </w:r>
          </w:p>
          <w:p w:rsidR="00900ACF" w:rsidRPr="002000B2" w:rsidRDefault="00900ACF" w:rsidP="00900ACF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ACF">
              <w:rPr>
                <w:rFonts w:ascii="Times New Roman" w:hAnsi="Times New Roman" w:cs="Times New Roman"/>
                <w:sz w:val="24"/>
                <w:szCs w:val="24"/>
              </w:rPr>
              <w:t xml:space="preserve">Selon les données de la DARES tirées des DADS 2015, le nombre d’EQTP dans les entreprises de plus de 20 salariés pour ce code PCS était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 (y compris militaires)</w:t>
            </w:r>
            <w:r w:rsidRPr="00900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996" w:rsidRPr="00B20DA3" w:rsidTr="009D0996">
        <w:tc>
          <w:tcPr>
            <w:tcW w:w="9212" w:type="dxa"/>
            <w:shd w:val="clear" w:color="auto" w:fill="92D050"/>
          </w:tcPr>
          <w:p w:rsidR="009D0996" w:rsidRPr="00545A50" w:rsidRDefault="009D0996" w:rsidP="009D0996">
            <w:pPr>
              <w:pStyle w:val="Paragraphedeliste"/>
              <w:jc w:val="center"/>
              <w:rPr>
                <w:rFonts w:ascii="Times New Roman" w:hAnsi="Times New Roman" w:cs="Times New Roman"/>
              </w:rPr>
            </w:pPr>
            <w:r w:rsidRPr="00545A50">
              <w:rPr>
                <w:rFonts w:ascii="Times New Roman" w:eastAsia="Times New Roman" w:hAnsi="Times New Roman" w:cs="Times New Roman"/>
                <w:b/>
                <w:lang w:eastAsia="fr-FR"/>
              </w:rPr>
              <w:t>Nombre de TH employés sur des emplois ECAP (2017)</w:t>
            </w:r>
            <w:r w:rsidR="00900ACF" w:rsidRPr="00545A50">
              <w:rPr>
                <w:rStyle w:val="Appelnotedebasdep"/>
                <w:rFonts w:ascii="Times New Roman" w:eastAsia="Times New Roman" w:hAnsi="Times New Roman" w:cs="Times New Roman"/>
                <w:b/>
                <w:lang w:eastAsia="fr-FR"/>
              </w:rPr>
              <w:footnoteReference w:id="1"/>
            </w:r>
          </w:p>
        </w:tc>
      </w:tr>
      <w:tr w:rsidR="009D0996" w:rsidRPr="00B20DA3" w:rsidTr="00B20DA3">
        <w:tc>
          <w:tcPr>
            <w:tcW w:w="9212" w:type="dxa"/>
          </w:tcPr>
          <w:p w:rsidR="009D0996" w:rsidRPr="002000B2" w:rsidRDefault="009D0996" w:rsidP="00F35423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0DA3" w:rsidTr="00FA61BD">
        <w:tc>
          <w:tcPr>
            <w:tcW w:w="9212" w:type="dxa"/>
            <w:shd w:val="clear" w:color="auto" w:fill="92D050"/>
          </w:tcPr>
          <w:p w:rsidR="00B20DA3" w:rsidRDefault="00BA5332" w:rsidP="00BA5332">
            <w:pPr>
              <w:jc w:val="center"/>
              <w:rPr>
                <w:b/>
              </w:rPr>
            </w:pPr>
            <w:r>
              <w:rPr>
                <w:b/>
              </w:rPr>
              <w:t>Conditions particulières d’accès à l’emploi</w:t>
            </w:r>
          </w:p>
        </w:tc>
      </w:tr>
      <w:tr w:rsidR="00B20DA3" w:rsidTr="00B20DA3">
        <w:tc>
          <w:tcPr>
            <w:tcW w:w="9212" w:type="dxa"/>
          </w:tcPr>
          <w:p w:rsidR="005A0985" w:rsidRDefault="001C6805" w:rsidP="005A0985">
            <w:pPr>
              <w:pStyle w:val="Textbody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1C6805">
              <w:rPr>
                <w:rFonts w:ascii="Times New Roman" w:hAnsi="Times New Roman" w:cs="Times New Roman"/>
              </w:rPr>
              <w:t xml:space="preserve">Les pompiers professionnels assurant une mission de service public sont en principe rattachés à l’armée (militaires) ou aux collectivités locales (fonctionnaires). Ils ne sont donc pas visés par la réglementation sur les ECAP, qui ne s’applique pas dans le secteur public hormis les EPIC. </w:t>
            </w:r>
          </w:p>
          <w:p w:rsidR="001C6805" w:rsidRPr="001C6805" w:rsidRDefault="001C6805" w:rsidP="004870F1">
            <w:pPr>
              <w:pStyle w:val="Textbody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1C6805">
              <w:rPr>
                <w:rFonts w:ascii="Times New Roman" w:hAnsi="Times New Roman" w:cs="Times New Roman"/>
              </w:rPr>
              <w:t>Ces pompiers sont régis par le cadre d’emploi des capitaines, commandants et lieutenants colonels de sapeurs- pompiers professionnels  (décret statutaire n° 2016-2008 modifié), des lieutenants de de sapeurs-pompiers professionnels (décret statutaire n° 2012-522 modifié) et des sapeurs et caporaux de sapeurs- pompiers professionnels  (décret statutaire n° 2012-521 du 20.04.2012 modifié) fixant les conditions de réussite aux épreuves de recrutement comportant des épreuves physiques et</w:t>
            </w:r>
            <w:r>
              <w:rPr>
                <w:rFonts w:ascii="Times New Roman" w:hAnsi="Times New Roman" w:cs="Times New Roman"/>
              </w:rPr>
              <w:t xml:space="preserve"> sportives.</w:t>
            </w:r>
          </w:p>
          <w:p w:rsidR="001C6805" w:rsidRDefault="001C6805" w:rsidP="005A0985">
            <w:pPr>
              <w:pStyle w:val="Textbody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4870F1">
              <w:rPr>
                <w:rFonts w:ascii="Times New Roman" w:hAnsi="Times New Roman" w:cs="Times New Roman"/>
                <w:b/>
              </w:rPr>
              <w:t>Les pompiers susceptibles d’être pris en compte au titre des ECAP</w:t>
            </w:r>
            <w:r w:rsidRPr="001C6805">
              <w:rPr>
                <w:rFonts w:ascii="Times New Roman" w:hAnsi="Times New Roman" w:cs="Times New Roman"/>
              </w:rPr>
              <w:t xml:space="preserve"> sont ceux qui exercent en entreprise dans les équipes dites de seconde intervention, généralement appelés « pompiers d’entreprise ». Ils se trouvent donc généralement dans les entreprises à risque type « Seveso », relevant des installations pour la protection de l’environnement.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31D95" w:rsidRPr="00731D95">
              <w:tc>
                <w:tcPr>
                  <w:tcW w:w="0" w:type="auto"/>
                </w:tcPr>
                <w:p w:rsidR="00731D95" w:rsidRPr="00731D95" w:rsidRDefault="00731D95" w:rsidP="00731D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0DA3" w:rsidRDefault="00B20DA3" w:rsidP="004F66EB">
            <w:pPr>
              <w:rPr>
                <w:b/>
              </w:rPr>
            </w:pPr>
          </w:p>
        </w:tc>
      </w:tr>
      <w:tr w:rsidR="00B20DA3" w:rsidTr="00FA61BD">
        <w:tc>
          <w:tcPr>
            <w:tcW w:w="9212" w:type="dxa"/>
            <w:shd w:val="clear" w:color="auto" w:fill="92D050"/>
          </w:tcPr>
          <w:p w:rsidR="00B20DA3" w:rsidRDefault="00DA5FB1" w:rsidP="002000B2">
            <w:pPr>
              <w:jc w:val="center"/>
              <w:rPr>
                <w:b/>
              </w:rPr>
            </w:pPr>
            <w:r>
              <w:rPr>
                <w:b/>
              </w:rPr>
              <w:t>Description de l’activité</w:t>
            </w:r>
          </w:p>
        </w:tc>
      </w:tr>
      <w:tr w:rsidR="00B20DA3" w:rsidTr="00B20DA3">
        <w:tc>
          <w:tcPr>
            <w:tcW w:w="9212" w:type="dxa"/>
          </w:tcPr>
          <w:p w:rsidR="00545A50" w:rsidRDefault="00545A50" w:rsidP="00545A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A50">
              <w:rPr>
                <w:rFonts w:ascii="Times New Roman" w:hAnsi="Times New Roman" w:cs="Times New Roman"/>
                <w:b/>
                <w:sz w:val="24"/>
                <w:szCs w:val="24"/>
              </w:rPr>
              <w:t>Avertissement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231A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eule l’activité des pompiers </w:t>
            </w:r>
            <w:r w:rsidR="00231AC6">
              <w:rPr>
                <w:rFonts w:ascii="Times New Roman" w:hAnsi="Times New Roman" w:cs="Times New Roman"/>
                <w:sz w:val="24"/>
                <w:szCs w:val="24"/>
              </w:rPr>
              <w:t xml:space="preserve"> assujettie à la règlementation des ECAP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 ici décrite</w:t>
            </w:r>
            <w:r w:rsidR="00B22556" w:rsidRPr="005A0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5494" w:rsidRPr="005A0985" w:rsidRDefault="005A0985" w:rsidP="00545A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0985">
              <w:rPr>
                <w:rFonts w:ascii="Times New Roman" w:hAnsi="Times New Roman" w:cs="Times New Roman"/>
                <w:b/>
                <w:sz w:val="24"/>
                <w:szCs w:val="24"/>
              </w:rPr>
              <w:t>Pompier d’entreprise</w:t>
            </w:r>
            <w:r w:rsidR="00247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</w:t>
            </w:r>
            <w:r w:rsidR="00DB4EE2" w:rsidRPr="005A0985">
              <w:rPr>
                <w:rFonts w:ascii="Times New Roman" w:hAnsi="Times New Roman" w:cs="Times New Roman"/>
                <w:sz w:val="24"/>
                <w:szCs w:val="24"/>
              </w:rPr>
              <w:t>n 2015, un groupe de travail formé à l’initiative de grandes entreprises en collaboration avec la FFMI</w:t>
            </w:r>
            <w:r w:rsidR="00E23EAF">
              <w:rPr>
                <w:rStyle w:val="Appelnotedebasdep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DB4EE2" w:rsidRPr="005A0985">
              <w:rPr>
                <w:rFonts w:ascii="Times New Roman" w:hAnsi="Times New Roman" w:cs="Times New Roman"/>
                <w:sz w:val="24"/>
                <w:szCs w:val="24"/>
              </w:rPr>
              <w:t xml:space="preserve"> a élaboré </w:t>
            </w:r>
            <w:r w:rsidR="00463F75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="00DB4EE2" w:rsidRPr="005A0985">
              <w:rPr>
                <w:rFonts w:ascii="Times New Roman" w:hAnsi="Times New Roman" w:cs="Times New Roman"/>
                <w:sz w:val="24"/>
                <w:szCs w:val="24"/>
              </w:rPr>
              <w:t xml:space="preserve"> fiche métier  du « pompier d’entreprise ».</w:t>
            </w:r>
            <w:r w:rsidR="00BA2E23" w:rsidRPr="005A0985">
              <w:rPr>
                <w:rFonts w:ascii="Times New Roman" w:hAnsi="Times New Roman" w:cs="Times New Roman"/>
                <w:sz w:val="24"/>
                <w:szCs w:val="24"/>
              </w:rPr>
              <w:t xml:space="preserve"> Elle identifie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deux</w:t>
            </w:r>
            <w:r w:rsidR="00BA2E23" w:rsidRPr="005A0985">
              <w:rPr>
                <w:rFonts w:ascii="Times New Roman" w:hAnsi="Times New Roman" w:cs="Times New Roman"/>
                <w:sz w:val="24"/>
                <w:szCs w:val="24"/>
              </w:rPr>
              <w:t xml:space="preserve"> grandes missions :</w:t>
            </w:r>
          </w:p>
          <w:p w:rsidR="00BA2E23" w:rsidRDefault="00BA2E23" w:rsidP="00463F75">
            <w:pPr>
              <w:pStyle w:val="Paragraphedeliste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Prévention</w:t>
            </w:r>
            <w:r w:rsidR="00463F75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conseil de la direction, établissement des procédures, sensibilisation/formation des salariés, surveillance de l’application des règles</w:t>
            </w:r>
          </w:p>
          <w:p w:rsidR="00BA2E23" w:rsidRPr="00BA2E23" w:rsidRDefault="00BA2E23" w:rsidP="00463F75">
            <w:pPr>
              <w:pStyle w:val="Paragraphedeliste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2E23">
              <w:rPr>
                <w:rFonts w:ascii="Times New Roman" w:hAnsi="Times New Roman" w:cs="Times New Roman"/>
                <w:sz w:val="24"/>
                <w:szCs w:val="24"/>
              </w:rPr>
              <w:t xml:space="preserve">Intervention : en attendant l'intervention des secours : gestion des alarmes incendie et risques associés, mise en sécurité des personnes, secours à personne, </w:t>
            </w:r>
            <w:r w:rsidR="005A09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A2E23">
              <w:rPr>
                <w:rFonts w:ascii="Times New Roman" w:hAnsi="Times New Roman" w:cs="Times New Roman"/>
                <w:sz w:val="24"/>
                <w:szCs w:val="24"/>
              </w:rPr>
              <w:t xml:space="preserve">auvegarde des actifs stratégiques, mise en </w:t>
            </w:r>
            <w:r w:rsidR="005A0985" w:rsidRPr="00BA2E23">
              <w:rPr>
                <w:rFonts w:ascii="Times New Roman" w:hAnsi="Times New Roman" w:cs="Times New Roman"/>
                <w:sz w:val="24"/>
                <w:szCs w:val="24"/>
              </w:rPr>
              <w:t>œuvre</w:t>
            </w:r>
            <w:r w:rsidRPr="00BA2E23">
              <w:rPr>
                <w:rFonts w:ascii="Times New Roman" w:hAnsi="Times New Roman" w:cs="Times New Roman"/>
                <w:sz w:val="24"/>
                <w:szCs w:val="24"/>
              </w:rPr>
              <w:t xml:space="preserve"> des moyens affectés à la sécurité passive et active,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A2E23">
              <w:rPr>
                <w:rFonts w:ascii="Times New Roman" w:hAnsi="Times New Roman" w:cs="Times New Roman"/>
                <w:sz w:val="24"/>
                <w:szCs w:val="24"/>
              </w:rPr>
              <w:t>ccueil et information des services d'incendie et de secours</w:t>
            </w:r>
          </w:p>
          <w:p w:rsidR="00DB4EE2" w:rsidRPr="00DB4EE2" w:rsidRDefault="00DB4EE2" w:rsidP="00DB4E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DF7" w:rsidTr="00FA61BD">
        <w:tc>
          <w:tcPr>
            <w:tcW w:w="9212" w:type="dxa"/>
            <w:shd w:val="clear" w:color="auto" w:fill="92D050"/>
          </w:tcPr>
          <w:p w:rsidR="00DB7DF7" w:rsidRPr="008117D1" w:rsidRDefault="00DB7DF7" w:rsidP="00D85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Aptitudes </w:t>
            </w:r>
            <w:r w:rsidR="00F54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="00547628" w:rsidRPr="005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contre-indications </w:t>
            </w:r>
            <w:bookmarkStart w:id="0" w:name="_GoBack"/>
            <w:bookmarkEnd w:id="0"/>
            <w:r w:rsidR="00F54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médicales </w:t>
            </w:r>
          </w:p>
        </w:tc>
      </w:tr>
      <w:tr w:rsidR="00DB7DF7" w:rsidTr="000D423F">
        <w:tc>
          <w:tcPr>
            <w:tcW w:w="9212" w:type="dxa"/>
            <w:shd w:val="clear" w:color="auto" w:fill="auto"/>
          </w:tcPr>
          <w:p w:rsidR="001C6805" w:rsidRDefault="00231AC6" w:rsidP="001C6805">
            <w:pPr>
              <w:autoSpaceDE w:val="0"/>
              <w:autoSpaceDN w:val="0"/>
              <w:adjustRightInd w:val="0"/>
            </w:pPr>
            <w:r w:rsidRPr="0046407F">
              <w:rPr>
                <w:rFonts w:ascii="Times New Roman" w:hAnsi="Times New Roman" w:cs="Times New Roman"/>
                <w:b/>
                <w:sz w:val="24"/>
                <w:szCs w:val="24"/>
              </w:rPr>
              <w:t>Avertissement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Les dispositions de l’a</w:t>
            </w:r>
            <w:r w:rsidR="00DB7DF7" w:rsidRPr="00231AC6">
              <w:rPr>
                <w:rFonts w:ascii="Times New Roman" w:hAnsi="Times New Roman" w:cs="Times New Roman"/>
                <w:sz w:val="24"/>
                <w:szCs w:val="24"/>
              </w:rPr>
              <w:t xml:space="preserve">rrêté du 6 mai 2000 </w:t>
            </w:r>
            <w:r w:rsidR="00DB7DF7" w:rsidRPr="006A46F6">
              <w:rPr>
                <w:rFonts w:ascii="Times New Roman" w:hAnsi="Times New Roman" w:cs="Times New Roman"/>
                <w:sz w:val="24"/>
                <w:szCs w:val="24"/>
              </w:rPr>
              <w:t>fixant les conditions d'aptitude médicale des sapeurs-pompiers professionnels et volontaires et les conditions d'exercice de la médecine professionnelle et préventive au sein des SDIS</w:t>
            </w:r>
            <w:r w:rsidR="001C68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s’appliquent pas aux pompiers d’entreprise et ne sont donc pas décrites ici.</w:t>
            </w:r>
            <w:r w:rsidR="001C6805">
              <w:t xml:space="preserve"> </w:t>
            </w:r>
          </w:p>
          <w:p w:rsidR="0046407F" w:rsidRDefault="0046407F" w:rsidP="00DB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F7" w:rsidRDefault="0046407F" w:rsidP="0046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Ces derniers sont soumis au droit commun </w:t>
            </w:r>
            <w:r w:rsidRPr="0046407F">
              <w:rPr>
                <w:rFonts w:ascii="Times New Roman" w:hAnsi="Times New Roman" w:cs="Times New Roman"/>
                <w:sz w:val="24"/>
                <w:szCs w:val="24"/>
              </w:rPr>
              <w:t>du suivi médical des salariés énoncées à la partie IV du code du travail (médecine du travail) et, le cas échéant, à l’a</w:t>
            </w:r>
            <w:r w:rsidR="00DB7DF7" w:rsidRPr="0046407F">
              <w:rPr>
                <w:rFonts w:ascii="Times New Roman" w:hAnsi="Times New Roman" w:cs="Times New Roman"/>
                <w:sz w:val="24"/>
                <w:szCs w:val="24"/>
              </w:rPr>
              <w:t xml:space="preserve">rrêté du 21 décembre 2005 </w:t>
            </w:r>
            <w:r w:rsidR="00EC33E9" w:rsidRPr="0046407F">
              <w:rPr>
                <w:rFonts w:ascii="Times New Roman" w:hAnsi="Times New Roman" w:cs="Times New Roman"/>
                <w:sz w:val="24"/>
                <w:szCs w:val="24"/>
              </w:rPr>
              <w:t xml:space="preserve"> fixant </w:t>
            </w:r>
            <w:r w:rsidR="00DB7DF7" w:rsidRPr="0046407F">
              <w:rPr>
                <w:rFonts w:ascii="Times New Roman" w:hAnsi="Times New Roman" w:cs="Times New Roman"/>
                <w:sz w:val="24"/>
                <w:szCs w:val="24"/>
              </w:rPr>
              <w:t>la liste des affections médicales incompatibles avec</w:t>
            </w:r>
            <w:r w:rsidR="00DB7DF7" w:rsidRPr="00EC33E9">
              <w:rPr>
                <w:rFonts w:ascii="Times New Roman" w:hAnsi="Times New Roman" w:cs="Times New Roman"/>
                <w:sz w:val="24"/>
                <w:szCs w:val="24"/>
              </w:rPr>
              <w:t xml:space="preserve"> l'obtention ou le maintien du permis de conduire</w:t>
            </w:r>
            <w:r w:rsidR="00DB7DF7" w:rsidRPr="00D35494">
              <w:rPr>
                <w:rFonts w:ascii="Times New Roman" w:hAnsi="Times New Roman" w:cs="Times New Roman"/>
                <w:sz w:val="24"/>
                <w:szCs w:val="24"/>
              </w:rPr>
              <w:t xml:space="preserve"> ou pouvant donner lieu à la délivrance de permis de conduire de durée de validité limitée</w:t>
            </w:r>
          </w:p>
          <w:p w:rsidR="0002793A" w:rsidRPr="0002793A" w:rsidRDefault="0002793A" w:rsidP="0002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DF7" w:rsidTr="00FA61BD">
        <w:tc>
          <w:tcPr>
            <w:tcW w:w="9212" w:type="dxa"/>
            <w:shd w:val="clear" w:color="auto" w:fill="92D050"/>
          </w:tcPr>
          <w:p w:rsidR="00DB7DF7" w:rsidRDefault="00264D3B" w:rsidP="00545A50">
            <w:pPr>
              <w:tabs>
                <w:tab w:val="left" w:pos="3100"/>
              </w:tabs>
              <w:jc w:val="center"/>
              <w:rPr>
                <w:b/>
              </w:rPr>
            </w:pPr>
            <w:r>
              <w:rPr>
                <w:b/>
              </w:rPr>
              <w:t>Principaux r</w:t>
            </w:r>
            <w:r w:rsidR="00DB7DF7">
              <w:rPr>
                <w:b/>
              </w:rPr>
              <w:t>isques professionnels</w:t>
            </w:r>
            <w:r w:rsidR="00D35494">
              <w:rPr>
                <w:b/>
              </w:rPr>
              <w:t xml:space="preserve"> (contraintes nuisances)</w:t>
            </w:r>
          </w:p>
        </w:tc>
      </w:tr>
      <w:tr w:rsidR="00DB7DF7" w:rsidTr="00B20DA3">
        <w:tc>
          <w:tcPr>
            <w:tcW w:w="9212" w:type="dxa"/>
          </w:tcPr>
          <w:p w:rsidR="006C75F9" w:rsidRPr="0046407F" w:rsidRDefault="006C75F9" w:rsidP="00464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DF7" w:rsidTr="00FA61BD">
        <w:tc>
          <w:tcPr>
            <w:tcW w:w="9212" w:type="dxa"/>
            <w:shd w:val="clear" w:color="auto" w:fill="92D050"/>
          </w:tcPr>
          <w:p w:rsidR="00DB7DF7" w:rsidRDefault="00DB7DF7" w:rsidP="00E539B8">
            <w:pPr>
              <w:jc w:val="center"/>
              <w:rPr>
                <w:b/>
              </w:rPr>
            </w:pPr>
            <w:r>
              <w:rPr>
                <w:b/>
              </w:rPr>
              <w:t>Prévention (recommandations, guides…)</w:t>
            </w:r>
            <w:r w:rsidR="00545A50">
              <w:rPr>
                <w:rStyle w:val="Appelnotedebasdep"/>
                <w:b/>
              </w:rPr>
              <w:footnoteReference w:id="3"/>
            </w:r>
          </w:p>
        </w:tc>
      </w:tr>
      <w:tr w:rsidR="00DB7DF7" w:rsidTr="00BF584A">
        <w:tc>
          <w:tcPr>
            <w:tcW w:w="9212" w:type="dxa"/>
            <w:shd w:val="clear" w:color="auto" w:fill="auto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3"/>
              <w:gridCol w:w="587"/>
              <w:gridCol w:w="4756"/>
            </w:tblGrid>
            <w:tr w:rsidR="00CF5988" w:rsidRPr="007C3050" w:rsidTr="00602258">
              <w:trPr>
                <w:trHeight w:val="630"/>
              </w:trPr>
              <w:tc>
                <w:tcPr>
                  <w:tcW w:w="16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Des risques professionnels contrastés selon les métiers : enquête SUMER 2010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lang w:eastAsia="fr-FR"/>
                    </w:rPr>
                    <w:t>2014</w:t>
                  </w:r>
                </w:p>
              </w:tc>
              <w:tc>
                <w:tcPr>
                  <w:tcW w:w="2019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222345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9" w:history="1">
                    <w:r w:rsidR="00CF5988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http://www.rst-sante-travail.fr/rst/pages-article/ArticleRST.html?ref=RST.TF%20224</w:t>
                    </w:r>
                  </w:hyperlink>
                </w:p>
              </w:tc>
            </w:tr>
            <w:tr w:rsidR="00CF5988" w:rsidRPr="007C3050" w:rsidTr="00602258">
              <w:trPr>
                <w:trHeight w:val="615"/>
              </w:trPr>
              <w:tc>
                <w:tcPr>
                  <w:tcW w:w="16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Sapeurs-pompiers et risque infectieux. 7e journée d’information santé et sécurité des sapeurs-pompiers. Aix-en-Provence, 8 juin 2011. Notes de congrès TD 182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222345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hyperlink r:id="rId10" w:history="1">
                    <w:r w:rsidR="00CF5988" w:rsidRPr="007C3050">
                      <w:rPr>
                        <w:rFonts w:ascii="Calibri" w:eastAsia="Times New Roman" w:hAnsi="Calibri" w:cs="Times New Roman"/>
                        <w:lang w:eastAsia="fr-FR"/>
                      </w:rPr>
                      <w:t>2011</w:t>
                    </w:r>
                  </w:hyperlink>
                </w:p>
              </w:tc>
              <w:tc>
                <w:tcPr>
                  <w:tcW w:w="2019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  <w:t>http://www.rst-sante-travail.fr/rst/pages-article/ArticleRST.html?ref=RST.TD%20182</w:t>
                  </w:r>
                </w:p>
              </w:tc>
            </w:tr>
            <w:tr w:rsidR="00CF5988" w:rsidRPr="007C3050" w:rsidTr="00602258">
              <w:trPr>
                <w:trHeight w:val="615"/>
              </w:trPr>
              <w:tc>
                <w:tcPr>
                  <w:tcW w:w="16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"Affections cardio-respiratoires et travail". 22e Congrès de la Société d'hygiène et de médecine du travail dans les armées et industries d'armement. Lille, 2 et 3 octobre 2008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lang w:eastAsia="fr-FR"/>
                    </w:rPr>
                    <w:t>2009</w:t>
                  </w:r>
                </w:p>
              </w:tc>
              <w:tc>
                <w:tcPr>
                  <w:tcW w:w="2019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222345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1" w:history="1">
                    <w:r w:rsidR="00CF5988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http://www.rst-sante-travail.fr/rst/pages-article/ArticleRST.html?ref=RST.TD%20164</w:t>
                    </w:r>
                  </w:hyperlink>
                </w:p>
              </w:tc>
            </w:tr>
            <w:tr w:rsidR="00CF5988" w:rsidRPr="007C3050" w:rsidTr="00602258">
              <w:trPr>
                <w:trHeight w:val="799"/>
              </w:trPr>
              <w:tc>
                <w:tcPr>
                  <w:tcW w:w="16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Un kit anti-lombalgies pour les pompiers (voir TS 673, mai 2007, pp. 38-40)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lang w:eastAsia="fr-FR"/>
                    </w:rPr>
                    <w:t>2007</w:t>
                  </w:r>
                </w:p>
              </w:tc>
              <w:tc>
                <w:tcPr>
                  <w:tcW w:w="2019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Document disponible auprès de l'INRS</w:t>
                  </w:r>
                </w:p>
              </w:tc>
            </w:tr>
            <w:tr w:rsidR="00CF5988" w:rsidRPr="007C3050" w:rsidTr="00602258">
              <w:trPr>
                <w:trHeight w:val="315"/>
              </w:trPr>
              <w:tc>
                <w:tcPr>
                  <w:tcW w:w="16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Les vêtements de protection. Choix et utilisation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lang w:eastAsia="fr-FR"/>
                    </w:rPr>
                    <w:t>2007</w:t>
                  </w:r>
                </w:p>
              </w:tc>
              <w:tc>
                <w:tcPr>
                  <w:tcW w:w="2019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222345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fr-FR"/>
                    </w:rPr>
                  </w:pPr>
                  <w:hyperlink r:id="rId12" w:history="1">
                    <w:r w:rsidR="00CF5988" w:rsidRPr="007C3050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fr-FR"/>
                      </w:rPr>
                      <w:t>http://www.inrs.fr/media.html?refINRS=ED%20995</w:t>
                    </w:r>
                  </w:hyperlink>
                </w:p>
              </w:tc>
            </w:tr>
            <w:tr w:rsidR="00CF5988" w:rsidRPr="007C3050" w:rsidTr="00602258">
              <w:trPr>
                <w:trHeight w:val="799"/>
              </w:trPr>
              <w:tc>
                <w:tcPr>
                  <w:tcW w:w="1681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Appareil respiratoire isolant : contrôle du stress à tous les étages... (Travail et sécurité mars 1996, p. 2)</w:t>
                  </w:r>
                </w:p>
              </w:tc>
              <w:tc>
                <w:tcPr>
                  <w:tcW w:w="274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lang w:eastAsia="fr-FR"/>
                    </w:rPr>
                    <w:t>1996</w:t>
                  </w:r>
                </w:p>
              </w:tc>
              <w:tc>
                <w:tcPr>
                  <w:tcW w:w="2019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88" w:rsidRPr="007C3050" w:rsidRDefault="00CF5988" w:rsidP="006022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7C3050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Document disponible auprès de l'INRS</w:t>
                  </w:r>
                </w:p>
              </w:tc>
            </w:tr>
          </w:tbl>
          <w:p w:rsidR="00CF5988" w:rsidRDefault="00CF5988" w:rsidP="00BF584A">
            <w:pPr>
              <w:jc w:val="center"/>
              <w:rPr>
                <w:b/>
              </w:rPr>
            </w:pPr>
          </w:p>
        </w:tc>
      </w:tr>
      <w:tr w:rsidR="00DB7DF7" w:rsidTr="00FA61BD">
        <w:tc>
          <w:tcPr>
            <w:tcW w:w="9212" w:type="dxa"/>
            <w:shd w:val="clear" w:color="auto" w:fill="92D050"/>
          </w:tcPr>
          <w:p w:rsidR="00DB7DF7" w:rsidRDefault="00DB7DF7" w:rsidP="00BA5332">
            <w:pPr>
              <w:jc w:val="center"/>
              <w:rPr>
                <w:b/>
              </w:rPr>
            </w:pPr>
            <w:r>
              <w:rPr>
                <w:b/>
              </w:rPr>
              <w:t>Aménagements envisageables (en fonction du handicap/faisabilité…)</w:t>
            </w:r>
            <w:r w:rsidR="00545A50">
              <w:rPr>
                <w:rStyle w:val="Appelnotedebasdep"/>
                <w:b/>
              </w:rPr>
              <w:footnoteReference w:id="4"/>
            </w:r>
          </w:p>
        </w:tc>
      </w:tr>
      <w:tr w:rsidR="00DB7DF7" w:rsidTr="00B20DA3">
        <w:tc>
          <w:tcPr>
            <w:tcW w:w="9212" w:type="dxa"/>
          </w:tcPr>
          <w:p w:rsidR="008E747E" w:rsidRPr="008E747E" w:rsidRDefault="008E747E" w:rsidP="008E747E">
            <w:pPr>
              <w:spacing w:after="200" w:line="276" w:lineRule="auto"/>
              <w:rPr>
                <w:b/>
              </w:rPr>
            </w:pPr>
            <w:r w:rsidRPr="008E747E">
              <w:rPr>
                <w:b/>
              </w:rPr>
              <w:t>Moteur :</w:t>
            </w:r>
          </w:p>
          <w:p w:rsidR="008E747E" w:rsidRPr="008E747E" w:rsidRDefault="008E747E" w:rsidP="008E747E">
            <w:pPr>
              <w:spacing w:after="200" w:line="276" w:lineRule="auto"/>
              <w:rPr>
                <w:b/>
              </w:rPr>
            </w:pPr>
            <w:r w:rsidRPr="008E747E">
              <w:rPr>
                <w:b/>
              </w:rPr>
              <w:t>Sensoriel :</w:t>
            </w:r>
          </w:p>
          <w:p w:rsidR="008E747E" w:rsidRPr="008E747E" w:rsidRDefault="008E747E" w:rsidP="008E747E">
            <w:pPr>
              <w:spacing w:after="200" w:line="276" w:lineRule="auto"/>
              <w:rPr>
                <w:b/>
              </w:rPr>
            </w:pPr>
            <w:r w:rsidRPr="008E747E">
              <w:rPr>
                <w:b/>
              </w:rPr>
              <w:t>Mental :</w:t>
            </w:r>
          </w:p>
          <w:p w:rsidR="00DB7DF7" w:rsidRPr="00CC09EB" w:rsidRDefault="008E747E" w:rsidP="008E747E">
            <w:pPr>
              <w:rPr>
                <w:b/>
              </w:rPr>
            </w:pPr>
            <w:r w:rsidRPr="008E747E">
              <w:rPr>
                <w:b/>
              </w:rPr>
              <w:t>Psychique :</w:t>
            </w:r>
          </w:p>
        </w:tc>
      </w:tr>
    </w:tbl>
    <w:p w:rsidR="00624936" w:rsidRDefault="00624936" w:rsidP="00624936">
      <w:pPr>
        <w:rPr>
          <w:b/>
        </w:rPr>
      </w:pPr>
    </w:p>
    <w:p w:rsidR="00624936" w:rsidRDefault="00624936" w:rsidP="00624936">
      <w:pPr>
        <w:rPr>
          <w:b/>
        </w:rPr>
      </w:pPr>
    </w:p>
    <w:p w:rsidR="00136E73" w:rsidRPr="00141799" w:rsidRDefault="00136E73" w:rsidP="00141799">
      <w:pPr>
        <w:jc w:val="center"/>
        <w:rPr>
          <w:b/>
          <w:sz w:val="28"/>
          <w:szCs w:val="28"/>
        </w:rPr>
      </w:pPr>
      <w:r w:rsidRPr="00141799">
        <w:rPr>
          <w:b/>
          <w:sz w:val="28"/>
          <w:szCs w:val="28"/>
        </w:rPr>
        <w:t>Synthèse</w:t>
      </w:r>
    </w:p>
    <w:p w:rsidR="00136E73" w:rsidRPr="00624936" w:rsidRDefault="00141799" w:rsidP="00624936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79254031" wp14:editId="7D8DD656">
            <wp:extent cx="5760720" cy="348362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E73" w:rsidRPr="0062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45" w:rsidRDefault="00222345" w:rsidP="00343251">
      <w:pPr>
        <w:spacing w:after="0" w:line="240" w:lineRule="auto"/>
      </w:pPr>
      <w:r>
        <w:separator/>
      </w:r>
    </w:p>
  </w:endnote>
  <w:endnote w:type="continuationSeparator" w:id="0">
    <w:p w:rsidR="00222345" w:rsidRDefault="00222345" w:rsidP="0034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45" w:rsidRDefault="00222345" w:rsidP="00343251">
      <w:pPr>
        <w:spacing w:after="0" w:line="240" w:lineRule="auto"/>
      </w:pPr>
      <w:r>
        <w:separator/>
      </w:r>
    </w:p>
  </w:footnote>
  <w:footnote w:type="continuationSeparator" w:id="0">
    <w:p w:rsidR="00222345" w:rsidRDefault="00222345" w:rsidP="00343251">
      <w:pPr>
        <w:spacing w:after="0" w:line="240" w:lineRule="auto"/>
      </w:pPr>
      <w:r>
        <w:continuationSeparator/>
      </w:r>
    </w:p>
  </w:footnote>
  <w:footnote w:id="1">
    <w:p w:rsidR="00900ACF" w:rsidRDefault="00900ACF">
      <w:pPr>
        <w:pStyle w:val="Notedebasdepage"/>
      </w:pPr>
      <w:r>
        <w:rPr>
          <w:rStyle w:val="Appelnotedebasdep"/>
        </w:rPr>
        <w:footnoteRef/>
      </w:r>
      <w:r>
        <w:t xml:space="preserve"> Source Agefiph</w:t>
      </w:r>
    </w:p>
  </w:footnote>
  <w:footnote w:id="2">
    <w:p w:rsidR="00E23EAF" w:rsidRDefault="00E23EAF">
      <w:pPr>
        <w:pStyle w:val="Notedebasdepage"/>
      </w:pPr>
      <w:r>
        <w:rPr>
          <w:rStyle w:val="Appelnotedebasdep"/>
        </w:rPr>
        <w:footnoteRef/>
      </w:r>
      <w:r>
        <w:t xml:space="preserve"> Fédération française des métiers de l’incendie</w:t>
      </w:r>
    </w:p>
  </w:footnote>
  <w:footnote w:id="3">
    <w:p w:rsidR="00545A50" w:rsidRDefault="00545A5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45A50">
        <w:t>Sont ici recensées les principales actions de prévention pertinentes pour ce domaine d’activité, au-delà donc de celles qui viseraient spécifiquement une prévention adaptée aux salariés handicapés</w:t>
      </w:r>
    </w:p>
  </w:footnote>
  <w:footnote w:id="4">
    <w:p w:rsidR="00545A50" w:rsidRDefault="00545A5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45A50">
        <w:t>« Partie à compléter et à joindre par les répondants au formulaire de réponse adressé au secrétariat d’Etat chargé des Personnes handicapées ». J’ai modifié également le formulaire à adresser au METH pour qu’ils pensent à renseigner cette rubrique et je suggère qu’on le reprécise sous forme de « mini mode d’emploi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169"/>
    <w:multiLevelType w:val="multilevel"/>
    <w:tmpl w:val="898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26580"/>
    <w:multiLevelType w:val="multilevel"/>
    <w:tmpl w:val="5214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14246"/>
    <w:multiLevelType w:val="hybridMultilevel"/>
    <w:tmpl w:val="721638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26051"/>
    <w:multiLevelType w:val="multilevel"/>
    <w:tmpl w:val="78C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95BB7"/>
    <w:multiLevelType w:val="multilevel"/>
    <w:tmpl w:val="699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92C9C"/>
    <w:multiLevelType w:val="multilevel"/>
    <w:tmpl w:val="4DC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87111"/>
    <w:multiLevelType w:val="multilevel"/>
    <w:tmpl w:val="E7B8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B6F74"/>
    <w:multiLevelType w:val="multilevel"/>
    <w:tmpl w:val="E7C8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82AD0"/>
    <w:multiLevelType w:val="multilevel"/>
    <w:tmpl w:val="680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C4A52"/>
    <w:multiLevelType w:val="hybridMultilevel"/>
    <w:tmpl w:val="FEBE7BB6"/>
    <w:lvl w:ilvl="0" w:tplc="14CE94AC">
      <w:start w:val="52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9A07C8"/>
    <w:multiLevelType w:val="hybridMultilevel"/>
    <w:tmpl w:val="79623294"/>
    <w:lvl w:ilvl="0" w:tplc="14CE94AC">
      <w:start w:val="5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4556F"/>
    <w:multiLevelType w:val="hybridMultilevel"/>
    <w:tmpl w:val="BAF4D7D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EE2DF3"/>
    <w:multiLevelType w:val="multilevel"/>
    <w:tmpl w:val="F43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86CE4"/>
    <w:multiLevelType w:val="hybridMultilevel"/>
    <w:tmpl w:val="D8B4ED8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6657B5"/>
    <w:multiLevelType w:val="multilevel"/>
    <w:tmpl w:val="22C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76E28"/>
    <w:multiLevelType w:val="hybridMultilevel"/>
    <w:tmpl w:val="8ADC9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A4CB4"/>
    <w:multiLevelType w:val="multilevel"/>
    <w:tmpl w:val="BCC6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A2752"/>
    <w:multiLevelType w:val="hybridMultilevel"/>
    <w:tmpl w:val="85AC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E10CA"/>
    <w:multiLevelType w:val="hybridMultilevel"/>
    <w:tmpl w:val="B8449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D47F8"/>
    <w:multiLevelType w:val="hybridMultilevel"/>
    <w:tmpl w:val="56485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137C6"/>
    <w:multiLevelType w:val="multilevel"/>
    <w:tmpl w:val="DB8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67F36"/>
    <w:multiLevelType w:val="multilevel"/>
    <w:tmpl w:val="086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560D66"/>
    <w:multiLevelType w:val="hybridMultilevel"/>
    <w:tmpl w:val="D1EE16BA"/>
    <w:lvl w:ilvl="0" w:tplc="F85EC004">
      <w:start w:val="6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00509"/>
    <w:multiLevelType w:val="hybridMultilevel"/>
    <w:tmpl w:val="375E5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96AED"/>
    <w:multiLevelType w:val="hybridMultilevel"/>
    <w:tmpl w:val="EF7C0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A13C6"/>
    <w:multiLevelType w:val="hybridMultilevel"/>
    <w:tmpl w:val="45483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07850"/>
    <w:multiLevelType w:val="hybridMultilevel"/>
    <w:tmpl w:val="D160CC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024B28"/>
    <w:multiLevelType w:val="multilevel"/>
    <w:tmpl w:val="2472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D10D1"/>
    <w:multiLevelType w:val="hybridMultilevel"/>
    <w:tmpl w:val="6FDCD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35F33"/>
    <w:multiLevelType w:val="multilevel"/>
    <w:tmpl w:val="FB5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C7533"/>
    <w:multiLevelType w:val="hybridMultilevel"/>
    <w:tmpl w:val="02E21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4561E"/>
    <w:multiLevelType w:val="hybridMultilevel"/>
    <w:tmpl w:val="4C54A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5C1D16"/>
    <w:multiLevelType w:val="hybridMultilevel"/>
    <w:tmpl w:val="34E809A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8B725D"/>
    <w:multiLevelType w:val="hybridMultilevel"/>
    <w:tmpl w:val="5F6E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B1C3A"/>
    <w:multiLevelType w:val="multilevel"/>
    <w:tmpl w:val="47B6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2B531D"/>
    <w:multiLevelType w:val="hybridMultilevel"/>
    <w:tmpl w:val="9044FF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F6838"/>
    <w:multiLevelType w:val="hybridMultilevel"/>
    <w:tmpl w:val="A64E7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548D9"/>
    <w:multiLevelType w:val="multilevel"/>
    <w:tmpl w:val="EB2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3D2998"/>
    <w:multiLevelType w:val="multilevel"/>
    <w:tmpl w:val="C00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1845DD"/>
    <w:multiLevelType w:val="multilevel"/>
    <w:tmpl w:val="DE5C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6"/>
  </w:num>
  <w:num w:numId="5">
    <w:abstractNumId w:val="39"/>
  </w:num>
  <w:num w:numId="6">
    <w:abstractNumId w:val="1"/>
  </w:num>
  <w:num w:numId="7">
    <w:abstractNumId w:val="30"/>
  </w:num>
  <w:num w:numId="8">
    <w:abstractNumId w:val="13"/>
  </w:num>
  <w:num w:numId="9">
    <w:abstractNumId w:val="20"/>
  </w:num>
  <w:num w:numId="10">
    <w:abstractNumId w:val="4"/>
  </w:num>
  <w:num w:numId="11">
    <w:abstractNumId w:val="14"/>
  </w:num>
  <w:num w:numId="12">
    <w:abstractNumId w:val="8"/>
  </w:num>
  <w:num w:numId="13">
    <w:abstractNumId w:val="27"/>
  </w:num>
  <w:num w:numId="14">
    <w:abstractNumId w:val="12"/>
  </w:num>
  <w:num w:numId="15">
    <w:abstractNumId w:val="29"/>
  </w:num>
  <w:num w:numId="16">
    <w:abstractNumId w:val="5"/>
  </w:num>
  <w:num w:numId="17">
    <w:abstractNumId w:val="3"/>
  </w:num>
  <w:num w:numId="18">
    <w:abstractNumId w:val="21"/>
  </w:num>
  <w:num w:numId="19">
    <w:abstractNumId w:val="37"/>
  </w:num>
  <w:num w:numId="20">
    <w:abstractNumId w:val="0"/>
  </w:num>
  <w:num w:numId="21">
    <w:abstractNumId w:val="38"/>
  </w:num>
  <w:num w:numId="22">
    <w:abstractNumId w:val="19"/>
  </w:num>
  <w:num w:numId="23">
    <w:abstractNumId w:val="36"/>
  </w:num>
  <w:num w:numId="24">
    <w:abstractNumId w:val="23"/>
  </w:num>
  <w:num w:numId="25">
    <w:abstractNumId w:val="33"/>
  </w:num>
  <w:num w:numId="26">
    <w:abstractNumId w:val="17"/>
  </w:num>
  <w:num w:numId="27">
    <w:abstractNumId w:val="24"/>
  </w:num>
  <w:num w:numId="28">
    <w:abstractNumId w:val="31"/>
  </w:num>
  <w:num w:numId="29">
    <w:abstractNumId w:val="28"/>
  </w:num>
  <w:num w:numId="30">
    <w:abstractNumId w:val="25"/>
  </w:num>
  <w:num w:numId="31">
    <w:abstractNumId w:val="11"/>
  </w:num>
  <w:num w:numId="32">
    <w:abstractNumId w:val="2"/>
  </w:num>
  <w:num w:numId="33">
    <w:abstractNumId w:val="18"/>
  </w:num>
  <w:num w:numId="34">
    <w:abstractNumId w:val="34"/>
  </w:num>
  <w:num w:numId="35">
    <w:abstractNumId w:val="9"/>
  </w:num>
  <w:num w:numId="36">
    <w:abstractNumId w:val="35"/>
  </w:num>
  <w:num w:numId="37">
    <w:abstractNumId w:val="10"/>
  </w:num>
  <w:num w:numId="38">
    <w:abstractNumId w:val="15"/>
  </w:num>
  <w:num w:numId="39">
    <w:abstractNumId w:val="26"/>
  </w:num>
  <w:num w:numId="4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6"/>
    <w:rsid w:val="0002793A"/>
    <w:rsid w:val="0003259D"/>
    <w:rsid w:val="00051E24"/>
    <w:rsid w:val="00054A7A"/>
    <w:rsid w:val="00074ACC"/>
    <w:rsid w:val="0008304E"/>
    <w:rsid w:val="00090903"/>
    <w:rsid w:val="0009200D"/>
    <w:rsid w:val="000C24F2"/>
    <w:rsid w:val="000C3F95"/>
    <w:rsid w:val="000D423F"/>
    <w:rsid w:val="000E3432"/>
    <w:rsid w:val="00122EA6"/>
    <w:rsid w:val="00123D60"/>
    <w:rsid w:val="00136E73"/>
    <w:rsid w:val="00141799"/>
    <w:rsid w:val="00160F2F"/>
    <w:rsid w:val="00172D67"/>
    <w:rsid w:val="001B26B6"/>
    <w:rsid w:val="001B3E4B"/>
    <w:rsid w:val="001B66BB"/>
    <w:rsid w:val="001C17BB"/>
    <w:rsid w:val="001C4E5B"/>
    <w:rsid w:val="001C6805"/>
    <w:rsid w:val="001E0D51"/>
    <w:rsid w:val="001E170F"/>
    <w:rsid w:val="001E4928"/>
    <w:rsid w:val="001F0331"/>
    <w:rsid w:val="001F24E1"/>
    <w:rsid w:val="001F4257"/>
    <w:rsid w:val="002000B2"/>
    <w:rsid w:val="00207725"/>
    <w:rsid w:val="00222345"/>
    <w:rsid w:val="00231AC6"/>
    <w:rsid w:val="00242F1D"/>
    <w:rsid w:val="002474A9"/>
    <w:rsid w:val="00264D3B"/>
    <w:rsid w:val="00273E45"/>
    <w:rsid w:val="00274078"/>
    <w:rsid w:val="0029206D"/>
    <w:rsid w:val="002A6E5E"/>
    <w:rsid w:val="002F0451"/>
    <w:rsid w:val="00331D3B"/>
    <w:rsid w:val="00343251"/>
    <w:rsid w:val="00354A90"/>
    <w:rsid w:val="00355075"/>
    <w:rsid w:val="00360702"/>
    <w:rsid w:val="003645E2"/>
    <w:rsid w:val="0037467D"/>
    <w:rsid w:val="003961DC"/>
    <w:rsid w:val="0042213D"/>
    <w:rsid w:val="004408CD"/>
    <w:rsid w:val="0044748B"/>
    <w:rsid w:val="00463F75"/>
    <w:rsid w:val="0046407F"/>
    <w:rsid w:val="004720AD"/>
    <w:rsid w:val="004870F1"/>
    <w:rsid w:val="004B3020"/>
    <w:rsid w:val="004C2E9A"/>
    <w:rsid w:val="004C5B18"/>
    <w:rsid w:val="004F41A2"/>
    <w:rsid w:val="004F66EB"/>
    <w:rsid w:val="0053725F"/>
    <w:rsid w:val="00545A50"/>
    <w:rsid w:val="00547628"/>
    <w:rsid w:val="0056263E"/>
    <w:rsid w:val="005A0985"/>
    <w:rsid w:val="005A25CF"/>
    <w:rsid w:val="005D7B5C"/>
    <w:rsid w:val="00602673"/>
    <w:rsid w:val="00621D18"/>
    <w:rsid w:val="00624936"/>
    <w:rsid w:val="00627620"/>
    <w:rsid w:val="00672F6C"/>
    <w:rsid w:val="00674B53"/>
    <w:rsid w:val="006A46F6"/>
    <w:rsid w:val="006C75F9"/>
    <w:rsid w:val="00731D95"/>
    <w:rsid w:val="00746255"/>
    <w:rsid w:val="00746E66"/>
    <w:rsid w:val="007A31B8"/>
    <w:rsid w:val="007B2EF7"/>
    <w:rsid w:val="007C2413"/>
    <w:rsid w:val="00821988"/>
    <w:rsid w:val="00850BDC"/>
    <w:rsid w:val="00850DE0"/>
    <w:rsid w:val="008A4D3C"/>
    <w:rsid w:val="008B4F4E"/>
    <w:rsid w:val="008C19AB"/>
    <w:rsid w:val="008E1083"/>
    <w:rsid w:val="008E747E"/>
    <w:rsid w:val="00900ACF"/>
    <w:rsid w:val="00935A68"/>
    <w:rsid w:val="00935E6C"/>
    <w:rsid w:val="009D0996"/>
    <w:rsid w:val="009E2AEF"/>
    <w:rsid w:val="00A46BE0"/>
    <w:rsid w:val="00A73D73"/>
    <w:rsid w:val="00AA4A2E"/>
    <w:rsid w:val="00AB282D"/>
    <w:rsid w:val="00AC2CA1"/>
    <w:rsid w:val="00AC79FD"/>
    <w:rsid w:val="00AF4DE7"/>
    <w:rsid w:val="00B20DA3"/>
    <w:rsid w:val="00B22556"/>
    <w:rsid w:val="00B53872"/>
    <w:rsid w:val="00BA2E23"/>
    <w:rsid w:val="00BA5332"/>
    <w:rsid w:val="00BB00DA"/>
    <w:rsid w:val="00BF584A"/>
    <w:rsid w:val="00C232DD"/>
    <w:rsid w:val="00C25F3F"/>
    <w:rsid w:val="00C30BC8"/>
    <w:rsid w:val="00C76751"/>
    <w:rsid w:val="00C80D9B"/>
    <w:rsid w:val="00CB4669"/>
    <w:rsid w:val="00CC09EB"/>
    <w:rsid w:val="00CC5903"/>
    <w:rsid w:val="00CC6879"/>
    <w:rsid w:val="00CF5988"/>
    <w:rsid w:val="00D01951"/>
    <w:rsid w:val="00D02365"/>
    <w:rsid w:val="00D35494"/>
    <w:rsid w:val="00D45D8D"/>
    <w:rsid w:val="00D74BE8"/>
    <w:rsid w:val="00D76611"/>
    <w:rsid w:val="00DA35F5"/>
    <w:rsid w:val="00DA5FB1"/>
    <w:rsid w:val="00DB1F8C"/>
    <w:rsid w:val="00DB4EE2"/>
    <w:rsid w:val="00DB7DF7"/>
    <w:rsid w:val="00DD0093"/>
    <w:rsid w:val="00DF6B08"/>
    <w:rsid w:val="00E23EAF"/>
    <w:rsid w:val="00E372B6"/>
    <w:rsid w:val="00E427A7"/>
    <w:rsid w:val="00E45843"/>
    <w:rsid w:val="00E539B8"/>
    <w:rsid w:val="00E6122F"/>
    <w:rsid w:val="00EC33E9"/>
    <w:rsid w:val="00EF011F"/>
    <w:rsid w:val="00F229BE"/>
    <w:rsid w:val="00F257C7"/>
    <w:rsid w:val="00F35423"/>
    <w:rsid w:val="00F54A27"/>
    <w:rsid w:val="00F666D8"/>
    <w:rsid w:val="00F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2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46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3251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2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2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25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B2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2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26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6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3D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23D6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539B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Aucuneliste1">
    <w:name w:val="Aucune liste1"/>
    <w:next w:val="Aucuneliste"/>
    <w:uiPriority w:val="99"/>
    <w:semiHidden/>
    <w:unhideWhenUsed/>
    <w:rsid w:val="00E539B8"/>
  </w:style>
  <w:style w:type="character" w:styleId="Lienhypertextesuivivisit">
    <w:name w:val="FollowedHyperlink"/>
    <w:basedOn w:val="Policepardfaut"/>
    <w:uiPriority w:val="99"/>
    <w:semiHidden/>
    <w:unhideWhenUsed/>
    <w:rsid w:val="00E539B8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E539B8"/>
    <w:rPr>
      <w:i/>
      <w:iCs/>
    </w:rPr>
  </w:style>
  <w:style w:type="paragraph" w:customStyle="1" w:styleId="western">
    <w:name w:val="western"/>
    <w:basedOn w:val="Normal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60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DB7DF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2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46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3251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2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32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25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B2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2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26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6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6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23D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23D6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539B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Aucuneliste1">
    <w:name w:val="Aucune liste1"/>
    <w:next w:val="Aucuneliste"/>
    <w:uiPriority w:val="99"/>
    <w:semiHidden/>
    <w:unhideWhenUsed/>
    <w:rsid w:val="00E539B8"/>
  </w:style>
  <w:style w:type="character" w:styleId="Lienhypertextesuivivisit">
    <w:name w:val="FollowedHyperlink"/>
    <w:basedOn w:val="Policepardfaut"/>
    <w:uiPriority w:val="99"/>
    <w:semiHidden/>
    <w:unhideWhenUsed/>
    <w:rsid w:val="00E539B8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E539B8"/>
    <w:rPr>
      <w:i/>
      <w:iCs/>
    </w:rPr>
  </w:style>
  <w:style w:type="paragraph" w:customStyle="1" w:styleId="western">
    <w:name w:val="western"/>
    <w:basedOn w:val="Normal"/>
    <w:rsid w:val="00E5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60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DB7DF7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146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3920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4320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1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4933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2139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9359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8035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160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50616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0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7544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05281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48932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7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59099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41309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38032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2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6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86372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48022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20929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rs.fr/media.html?refINRS=ED%209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t-sante-travail.fr/rst/pages-article/ArticleRST.html?ref=RST.TD%2016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st-sante-travail.fr/rst/pages-article/ArticleRST.html?ref=RST.TD%201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t-sante-travail.fr/rst/pages-article/ArticleRST.html?ref=RST.TF%202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B8C6-90B2-4492-A76A-893100B9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LANOUZIERE, Herve</dc:creator>
  <cp:lastModifiedBy>LANOUZIERE, Herve</cp:lastModifiedBy>
  <cp:revision>43</cp:revision>
  <dcterms:created xsi:type="dcterms:W3CDTF">2019-02-06T21:41:00Z</dcterms:created>
  <dcterms:modified xsi:type="dcterms:W3CDTF">2019-03-25T20:46:00Z</dcterms:modified>
</cp:coreProperties>
</file>