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CE6E44" w:rsidTr="00CE6E44">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CE6E44">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CE6E44">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E6E44">
                          <w:tc>
                            <w:tcPr>
                              <w:tcW w:w="150" w:type="dxa"/>
                              <w:vAlign w:val="center"/>
                              <w:hideMark/>
                            </w:tcPr>
                            <w:p w:rsidR="00CE6E44" w:rsidRDefault="00CE6E44">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E6E4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E6E44">
                                      <w:trPr>
                                        <w:jc w:val="center"/>
                                      </w:trPr>
                                      <w:tc>
                                        <w:tcPr>
                                          <w:tcW w:w="5000" w:type="pct"/>
                                          <w:hideMark/>
                                        </w:tcPr>
                                        <w:p w:rsidR="00CE6E44" w:rsidRDefault="00CE6E44">
                                          <w:pPr>
                                            <w:rPr>
                                              <w:rFonts w:eastAsia="Times New Roman"/>
                                              <w:sz w:val="20"/>
                                              <w:szCs w:val="20"/>
                                            </w:rPr>
                                          </w:pPr>
                                        </w:p>
                                      </w:tc>
                                    </w:tr>
                                  </w:tbl>
                                  <w:p w:rsidR="00CE6E44" w:rsidRDefault="00CE6E44">
                                    <w:pPr>
                                      <w:jc w:val="center"/>
                                      <w:rPr>
                                        <w:rFonts w:eastAsia="Times New Roman"/>
                                        <w:sz w:val="20"/>
                                        <w:szCs w:val="20"/>
                                      </w:rPr>
                                    </w:pPr>
                                  </w:p>
                                </w:tc>
                              </w:tr>
                            </w:tbl>
                            <w:p w:rsidR="00CE6E44" w:rsidRDefault="00CE6E44">
                              <w:pPr>
                                <w:jc w:val="center"/>
                                <w:rPr>
                                  <w:rFonts w:eastAsia="Times New Roman"/>
                                  <w:sz w:val="20"/>
                                  <w:szCs w:val="20"/>
                                </w:rPr>
                              </w:pPr>
                            </w:p>
                          </w:tc>
                          <w:tc>
                            <w:tcPr>
                              <w:tcW w:w="150" w:type="dxa"/>
                              <w:vAlign w:val="center"/>
                              <w:hideMark/>
                            </w:tcPr>
                            <w:p w:rsidR="00CE6E44" w:rsidRDefault="00CE6E44">
                              <w:pPr>
                                <w:rPr>
                                  <w:rFonts w:eastAsia="Times New Roman"/>
                                  <w:sz w:val="20"/>
                                  <w:szCs w:val="20"/>
                                </w:rPr>
                              </w:pPr>
                            </w:p>
                          </w:tc>
                        </w:tr>
                      </w:tbl>
                      <w:p w:rsidR="00CE6E44" w:rsidRDefault="00CE6E44">
                        <w:pPr>
                          <w:rPr>
                            <w:rFonts w:eastAsia="Times New Roman"/>
                            <w:sz w:val="20"/>
                            <w:szCs w:val="20"/>
                          </w:rPr>
                        </w:pPr>
                      </w:p>
                    </w:tc>
                  </w:tr>
                  <w:tr w:rsidR="00CE6E44">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CE6E44">
                          <w:trPr>
                            <w:trHeight w:val="150"/>
                          </w:trPr>
                          <w:tc>
                            <w:tcPr>
                              <w:tcW w:w="9750" w:type="dxa"/>
                              <w:shd w:val="clear" w:color="auto" w:fill="FFFFFF"/>
                              <w:tcMar>
                                <w:top w:w="0" w:type="dxa"/>
                                <w:left w:w="150" w:type="dxa"/>
                                <w:bottom w:w="0" w:type="dxa"/>
                                <w:right w:w="150" w:type="dxa"/>
                              </w:tcMar>
                              <w:vAlign w:val="center"/>
                              <w:hideMark/>
                            </w:tcPr>
                            <w:p w:rsidR="00CE6E44" w:rsidRDefault="00CE6E44">
                              <w:pPr>
                                <w:spacing w:line="150" w:lineRule="exact"/>
                                <w:rPr>
                                  <w:sz w:val="15"/>
                                  <w:szCs w:val="15"/>
                                  <w:lang w:eastAsia="en-US"/>
                                </w:rPr>
                              </w:pPr>
                              <w:r>
                                <w:rPr>
                                  <w:sz w:val="15"/>
                                  <w:szCs w:val="15"/>
                                  <w:lang w:eastAsia="en-US"/>
                                </w:rPr>
                                <w:t xml:space="preserve">  </w:t>
                              </w:r>
                            </w:p>
                          </w:tc>
                        </w:tr>
                      </w:tbl>
                      <w:p w:rsidR="00CE6E44" w:rsidRDefault="00CE6E44">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CE6E44">
                          <w:trPr>
                            <w:hidden/>
                          </w:trPr>
                          <w:tc>
                            <w:tcPr>
                              <w:tcW w:w="150" w:type="dxa"/>
                              <w:shd w:val="clear" w:color="auto" w:fill="FFFFFF"/>
                              <w:vAlign w:val="center"/>
                              <w:hideMark/>
                            </w:tcPr>
                            <w:p w:rsidR="00CE6E44" w:rsidRDefault="00CE6E44">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E6E4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E6E4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E6E44">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CE6E44">
                                                  <w:trPr>
                                                    <w:jc w:val="center"/>
                                                  </w:trPr>
                                                  <w:tc>
                                                    <w:tcPr>
                                                      <w:tcW w:w="0" w:type="auto"/>
                                                      <w:vAlign w:val="center"/>
                                                      <w:hideMark/>
                                                    </w:tcPr>
                                                    <w:tbl>
                                                      <w:tblPr>
                                                        <w:tblpPr w:bottomFromText="70" w:vertAnchor="text"/>
                                                        <w:tblW w:w="0" w:type="auto"/>
                                                        <w:tblCellMar>
                                                          <w:left w:w="0" w:type="dxa"/>
                                                          <w:right w:w="0" w:type="dxa"/>
                                                        </w:tblCellMar>
                                                        <w:tblLook w:val="04A0" w:firstRow="1" w:lastRow="0" w:firstColumn="1" w:lastColumn="0" w:noHBand="0" w:noVBand="1"/>
                                                      </w:tblPr>
                                                      <w:tblGrid>
                                                        <w:gridCol w:w="2700"/>
                                                      </w:tblGrid>
                                                      <w:tr w:rsidR="00CE6E44">
                                                        <w:tc>
                                                          <w:tcPr>
                                                            <w:tcW w:w="0" w:type="auto"/>
                                                            <w:vAlign w:val="center"/>
                                                            <w:hideMark/>
                                                          </w:tcPr>
                                                          <w:p w:rsidR="00CE6E44" w:rsidRDefault="00CE6E44">
                                                            <w:pPr>
                                                              <w:spacing w:line="0" w:lineRule="atLeast"/>
                                                              <w:rPr>
                                                                <w:sz w:val="2"/>
                                                                <w:szCs w:val="2"/>
                                                                <w:lang w:eastAsia="en-US"/>
                                                              </w:rPr>
                                                            </w:pPr>
                                                            <w:r>
                                                              <w:rPr>
                                                                <w:noProof/>
                                                                <w:sz w:val="2"/>
                                                                <w:szCs w:val="2"/>
                                                              </w:rPr>
                                                              <w:drawing>
                                                                <wp:inline distT="0" distB="0" distL="0" distR="0">
                                                                  <wp:extent cx="1714500" cy="1428750"/>
                                                                  <wp:effectExtent l="0" t="0" r="0" b="0"/>
                                                                  <wp:docPr id="2" name="Image 2" descr="cid:image004.png@01D745BE.5983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png@01D745BE.598351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CE6E44" w:rsidRDefault="00CE6E44">
                                                      <w:pPr>
                                                        <w:rPr>
                                                          <w:rFonts w:eastAsia="Times New Roman"/>
                                                          <w:sz w:val="20"/>
                                                          <w:szCs w:val="20"/>
                                                        </w:rPr>
                                                      </w:pPr>
                                                    </w:p>
                                                  </w:tc>
                                                </w:tr>
                                              </w:tbl>
                                              <w:p w:rsidR="00CE6E44" w:rsidRDefault="00CE6E44">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CE6E44">
                                                  <w:trPr>
                                                    <w:trHeight w:val="300"/>
                                                    <w:jc w:val="center"/>
                                                  </w:trPr>
                                                  <w:tc>
                                                    <w:tcPr>
                                                      <w:tcW w:w="0" w:type="auto"/>
                                                      <w:vAlign w:val="center"/>
                                                      <w:hideMark/>
                                                    </w:tcPr>
                                                    <w:p w:rsidR="00CE6E44" w:rsidRDefault="00CE6E44">
                                                      <w:pPr>
                                                        <w:spacing w:line="300" w:lineRule="exact"/>
                                                        <w:rPr>
                                                          <w:sz w:val="30"/>
                                                          <w:szCs w:val="30"/>
                                                          <w:lang w:eastAsia="en-US"/>
                                                        </w:rPr>
                                                      </w:pPr>
                                                      <w:r>
                                                        <w:rPr>
                                                          <w:sz w:val="30"/>
                                                          <w:szCs w:val="30"/>
                                                          <w:lang w:eastAsia="en-US"/>
                                                        </w:rPr>
                                                        <w:t xml:space="preserve">  </w:t>
                                                      </w:r>
                                                    </w:p>
                                                  </w:tc>
                                                </w:tr>
                                              </w:tbl>
                                              <w:p w:rsidR="00CE6E44" w:rsidRDefault="00CE6E44">
                                                <w:pPr>
                                                  <w:spacing w:line="252" w:lineRule="auto"/>
                                                  <w:jc w:val="center"/>
                                                  <w:rPr>
                                                    <w:sz w:val="20"/>
                                                    <w:szCs w:val="20"/>
                                                    <w:lang w:eastAsia="en-US"/>
                                                  </w:rPr>
                                                </w:pPr>
                                              </w:p>
                                            </w:tc>
                                          </w:tr>
                                        </w:tbl>
                                        <w:p w:rsidR="00CE6E44" w:rsidRDefault="00CE6E44">
                                          <w:pPr>
                                            <w:rPr>
                                              <w:rFonts w:eastAsia="Times New Roman"/>
                                              <w:sz w:val="20"/>
                                              <w:szCs w:val="20"/>
                                            </w:rPr>
                                          </w:pPr>
                                        </w:p>
                                      </w:tc>
                                    </w:tr>
                                  </w:tbl>
                                  <w:p w:rsidR="00CE6E44" w:rsidRDefault="00CE6E44">
                                    <w:pPr>
                                      <w:jc w:val="center"/>
                                      <w:rPr>
                                        <w:rFonts w:eastAsia="Times New Roman"/>
                                        <w:sz w:val="20"/>
                                        <w:szCs w:val="20"/>
                                      </w:rPr>
                                    </w:pPr>
                                  </w:p>
                                </w:tc>
                              </w:tr>
                            </w:tbl>
                            <w:p w:rsidR="00CE6E44" w:rsidRDefault="00CE6E44">
                              <w:pPr>
                                <w:jc w:val="center"/>
                                <w:rPr>
                                  <w:rFonts w:eastAsia="Times New Roman"/>
                                  <w:sz w:val="20"/>
                                  <w:szCs w:val="20"/>
                                </w:rPr>
                              </w:pPr>
                            </w:p>
                          </w:tc>
                          <w:tc>
                            <w:tcPr>
                              <w:tcW w:w="150" w:type="dxa"/>
                              <w:shd w:val="clear" w:color="auto" w:fill="FFFFFF"/>
                              <w:vAlign w:val="center"/>
                              <w:hideMark/>
                            </w:tcPr>
                            <w:p w:rsidR="00CE6E44" w:rsidRDefault="00CE6E44">
                              <w:pPr>
                                <w:rPr>
                                  <w:rFonts w:eastAsia="Times New Roman"/>
                                  <w:sz w:val="20"/>
                                  <w:szCs w:val="20"/>
                                </w:rPr>
                              </w:pPr>
                            </w:p>
                          </w:tc>
                        </w:tr>
                      </w:tbl>
                      <w:p w:rsidR="00CE6E44" w:rsidRDefault="00CE6E44">
                        <w:pPr>
                          <w:spacing w:line="252" w:lineRule="auto"/>
                          <w:rPr>
                            <w:sz w:val="20"/>
                            <w:szCs w:val="20"/>
                            <w:lang w:eastAsia="en-US"/>
                          </w:rPr>
                        </w:pPr>
                      </w:p>
                    </w:tc>
                  </w:tr>
                  <w:tr w:rsidR="00CE6E44">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E6E44">
                          <w:tc>
                            <w:tcPr>
                              <w:tcW w:w="150" w:type="dxa"/>
                              <w:shd w:val="clear" w:color="auto" w:fill="FFFFFF"/>
                              <w:vAlign w:val="center"/>
                              <w:hideMark/>
                            </w:tcPr>
                            <w:p w:rsidR="00CE6E44" w:rsidRDefault="00CE6E44">
                              <w:pPr>
                                <w:rPr>
                                  <w:sz w:val="20"/>
                                  <w:szCs w:val="20"/>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E6E4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E6E4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E6E44">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CE6E44">
                                                  <w:tc>
                                                    <w:tcPr>
                                                      <w:tcW w:w="0" w:type="auto"/>
                                                      <w:vAlign w:val="center"/>
                                                      <w:hideMark/>
                                                    </w:tcPr>
                                                    <w:p w:rsidR="00CE6E44" w:rsidRDefault="00CE6E44">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CE6E44">
                                                  <w:trPr>
                                                    <w:trHeight w:val="300"/>
                                                    <w:jc w:val="center"/>
                                                  </w:trPr>
                                                  <w:tc>
                                                    <w:tcPr>
                                                      <w:tcW w:w="0" w:type="auto"/>
                                                      <w:vAlign w:val="center"/>
                                                      <w:hideMark/>
                                                    </w:tcPr>
                                                    <w:p w:rsidR="00CE6E44" w:rsidRDefault="00CE6E44">
                                                      <w:pPr>
                                                        <w:spacing w:line="300" w:lineRule="exact"/>
                                                        <w:rPr>
                                                          <w:sz w:val="30"/>
                                                          <w:szCs w:val="30"/>
                                                          <w:lang w:eastAsia="en-US"/>
                                                        </w:rPr>
                                                      </w:pPr>
                                                      <w:r>
                                                        <w:rPr>
                                                          <w:sz w:val="30"/>
                                                          <w:szCs w:val="30"/>
                                                          <w:lang w:eastAsia="en-US"/>
                                                        </w:rPr>
                                                        <w:t xml:space="preserve">  </w:t>
                                                      </w:r>
                                                    </w:p>
                                                  </w:tc>
                                                </w:tr>
                                              </w:tbl>
                                              <w:p w:rsidR="00CE6E44" w:rsidRDefault="00CE6E44">
                                                <w:pPr>
                                                  <w:jc w:val="center"/>
                                                  <w:rPr>
                                                    <w:rFonts w:eastAsia="Times New Roman"/>
                                                    <w:sz w:val="20"/>
                                                    <w:szCs w:val="20"/>
                                                  </w:rPr>
                                                </w:pPr>
                                              </w:p>
                                            </w:tc>
                                          </w:tr>
                                        </w:tbl>
                                        <w:p w:rsidR="00CE6E44" w:rsidRDefault="00CE6E44">
                                          <w:pPr>
                                            <w:rPr>
                                              <w:rFonts w:eastAsia="Times New Roman"/>
                                              <w:sz w:val="20"/>
                                              <w:szCs w:val="20"/>
                                            </w:rPr>
                                          </w:pPr>
                                        </w:p>
                                      </w:tc>
                                    </w:tr>
                                  </w:tbl>
                                  <w:p w:rsidR="00CE6E44" w:rsidRDefault="00CE6E44">
                                    <w:pPr>
                                      <w:jc w:val="center"/>
                                      <w:rPr>
                                        <w:rFonts w:eastAsia="Times New Roman"/>
                                        <w:sz w:val="20"/>
                                        <w:szCs w:val="20"/>
                                      </w:rPr>
                                    </w:pPr>
                                  </w:p>
                                </w:tc>
                              </w:tr>
                            </w:tbl>
                            <w:p w:rsidR="00CE6E44" w:rsidRDefault="00CE6E44">
                              <w:pPr>
                                <w:jc w:val="center"/>
                                <w:rPr>
                                  <w:rFonts w:eastAsia="Times New Roman"/>
                                  <w:sz w:val="20"/>
                                  <w:szCs w:val="20"/>
                                </w:rPr>
                              </w:pPr>
                            </w:p>
                          </w:tc>
                          <w:tc>
                            <w:tcPr>
                              <w:tcW w:w="150" w:type="dxa"/>
                              <w:shd w:val="clear" w:color="auto" w:fill="FFFFFF"/>
                              <w:vAlign w:val="center"/>
                              <w:hideMark/>
                            </w:tcPr>
                            <w:p w:rsidR="00CE6E44" w:rsidRDefault="00CE6E44">
                              <w:pPr>
                                <w:rPr>
                                  <w:rFonts w:eastAsia="Times New Roman"/>
                                  <w:sz w:val="20"/>
                                  <w:szCs w:val="20"/>
                                </w:rPr>
                              </w:pPr>
                            </w:p>
                          </w:tc>
                        </w:tr>
                      </w:tbl>
                      <w:p w:rsidR="00CE6E44" w:rsidRDefault="00CE6E44">
                        <w:pPr>
                          <w:rPr>
                            <w:rFonts w:eastAsia="Times New Roman"/>
                            <w:sz w:val="20"/>
                            <w:szCs w:val="20"/>
                          </w:rPr>
                        </w:pPr>
                      </w:p>
                    </w:tc>
                  </w:tr>
                  <w:tr w:rsidR="00CE6E44">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E6E44">
                          <w:tc>
                            <w:tcPr>
                              <w:tcW w:w="150" w:type="dxa"/>
                              <w:shd w:val="clear" w:color="auto" w:fill="FFFFFF"/>
                              <w:vAlign w:val="center"/>
                              <w:hideMark/>
                            </w:tcPr>
                            <w:p w:rsidR="00CE6E44" w:rsidRDefault="00CE6E4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E6E4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E6E4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E6E44">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CE6E44">
                                                  <w:tc>
                                                    <w:tcPr>
                                                      <w:tcW w:w="0" w:type="auto"/>
                                                      <w:vAlign w:val="center"/>
                                                      <w:hideMark/>
                                                    </w:tcPr>
                                                    <w:p w:rsidR="00CE6E44" w:rsidRDefault="00CE6E44">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10 mai 2021</w:t>
                                                      </w:r>
                                                    </w:p>
                                                  </w:tc>
                                                </w:tr>
                                              </w:tbl>
                                              <w:p w:rsidR="00CE6E44" w:rsidRDefault="00CE6E44">
                                                <w:pPr>
                                                  <w:rPr>
                                                    <w:rFonts w:eastAsia="Times New Roman"/>
                                                    <w:sz w:val="20"/>
                                                    <w:szCs w:val="20"/>
                                                  </w:rPr>
                                                </w:pPr>
                                              </w:p>
                                            </w:tc>
                                          </w:tr>
                                        </w:tbl>
                                        <w:p w:rsidR="00CE6E44" w:rsidRDefault="00CE6E44">
                                          <w:pPr>
                                            <w:rPr>
                                              <w:rFonts w:eastAsia="Times New Roman"/>
                                              <w:sz w:val="20"/>
                                              <w:szCs w:val="20"/>
                                            </w:rPr>
                                          </w:pPr>
                                        </w:p>
                                      </w:tc>
                                    </w:tr>
                                  </w:tbl>
                                  <w:p w:rsidR="00CE6E44" w:rsidRDefault="00CE6E44">
                                    <w:pPr>
                                      <w:jc w:val="center"/>
                                      <w:rPr>
                                        <w:rFonts w:eastAsia="Times New Roman"/>
                                        <w:sz w:val="20"/>
                                        <w:szCs w:val="20"/>
                                      </w:rPr>
                                    </w:pPr>
                                  </w:p>
                                </w:tc>
                              </w:tr>
                            </w:tbl>
                            <w:p w:rsidR="00CE6E44" w:rsidRDefault="00CE6E44">
                              <w:pPr>
                                <w:jc w:val="center"/>
                                <w:rPr>
                                  <w:rFonts w:eastAsia="Times New Roman"/>
                                  <w:sz w:val="20"/>
                                  <w:szCs w:val="20"/>
                                </w:rPr>
                              </w:pPr>
                            </w:p>
                          </w:tc>
                          <w:tc>
                            <w:tcPr>
                              <w:tcW w:w="150" w:type="dxa"/>
                              <w:shd w:val="clear" w:color="auto" w:fill="FFFFFF"/>
                              <w:vAlign w:val="center"/>
                              <w:hideMark/>
                            </w:tcPr>
                            <w:p w:rsidR="00CE6E44" w:rsidRDefault="00CE6E44">
                              <w:pPr>
                                <w:rPr>
                                  <w:rFonts w:eastAsia="Times New Roman"/>
                                  <w:sz w:val="20"/>
                                  <w:szCs w:val="20"/>
                                </w:rPr>
                              </w:pPr>
                            </w:p>
                          </w:tc>
                        </w:tr>
                      </w:tbl>
                      <w:p w:rsidR="00CE6E44" w:rsidRDefault="00CE6E44">
                        <w:pPr>
                          <w:rPr>
                            <w:rFonts w:eastAsia="Times New Roman"/>
                            <w:sz w:val="20"/>
                            <w:szCs w:val="20"/>
                          </w:rPr>
                        </w:pPr>
                      </w:p>
                    </w:tc>
                  </w:tr>
                  <w:tr w:rsidR="00CE6E44">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6"/>
                          <w:gridCol w:w="10454"/>
                          <w:gridCol w:w="6"/>
                        </w:tblGrid>
                        <w:tr w:rsidR="00CE6E44">
                          <w:tc>
                            <w:tcPr>
                              <w:tcW w:w="150" w:type="dxa"/>
                              <w:shd w:val="clear" w:color="auto" w:fill="FFFFFF"/>
                              <w:vAlign w:val="center"/>
                              <w:hideMark/>
                            </w:tcPr>
                            <w:p w:rsidR="00CE6E44" w:rsidRDefault="00CE6E4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4"/>
                              </w:tblGrid>
                              <w:tr w:rsidR="00CE6E4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1"/>
                                      <w:gridCol w:w="673"/>
                                    </w:tblGrid>
                                    <w:tr w:rsidR="00CE6E44">
                                      <w:trPr>
                                        <w:jc w:val="center"/>
                                      </w:trPr>
                                      <w:tc>
                                        <w:tcPr>
                                          <w:tcW w:w="3050" w:type="pct"/>
                                          <w:hideMark/>
                                        </w:tcPr>
                                        <w:tbl>
                                          <w:tblPr>
                                            <w:tblW w:w="8854" w:type="dxa"/>
                                            <w:tblCellMar>
                                              <w:left w:w="0" w:type="dxa"/>
                                              <w:right w:w="0" w:type="dxa"/>
                                            </w:tblCellMar>
                                            <w:tblLook w:val="04A0" w:firstRow="1" w:lastRow="0" w:firstColumn="1" w:lastColumn="0" w:noHBand="0" w:noVBand="1"/>
                                          </w:tblPr>
                                          <w:tblGrid>
                                            <w:gridCol w:w="9781"/>
                                          </w:tblGrid>
                                          <w:tr w:rsidR="00CE6E44">
                                            <w:tc>
                                              <w:tcPr>
                                                <w:tcW w:w="5000" w:type="pct"/>
                                                <w:tcMar>
                                                  <w:top w:w="300" w:type="dxa"/>
                                                  <w:left w:w="300" w:type="dxa"/>
                                                  <w:bottom w:w="300" w:type="dxa"/>
                                                  <w:right w:w="300" w:type="dxa"/>
                                                </w:tcMar>
                                                <w:vAlign w:val="center"/>
                                                <w:hideMark/>
                                              </w:tcPr>
                                              <w:tbl>
                                                <w:tblPr>
                                                  <w:tblpPr w:bottomFromText="70" w:vertAnchor="text"/>
                                                  <w:tblW w:w="9498" w:type="dxa"/>
                                                  <w:tblCellMar>
                                                    <w:left w:w="0" w:type="dxa"/>
                                                    <w:right w:w="0" w:type="dxa"/>
                                                  </w:tblCellMar>
                                                  <w:tblLook w:val="04A0" w:firstRow="1" w:lastRow="0" w:firstColumn="1" w:lastColumn="0" w:noHBand="0" w:noVBand="1"/>
                                                </w:tblPr>
                                                <w:tblGrid>
                                                  <w:gridCol w:w="9498"/>
                                                </w:tblGrid>
                                                <w:tr w:rsidR="00CE6E44">
                                                  <w:tc>
                                                    <w:tcPr>
                                                      <w:tcW w:w="5000" w:type="pct"/>
                                                      <w:vAlign w:val="center"/>
                                                      <w:hideMark/>
                                                    </w:tcPr>
                                                    <w:p w:rsidR="00CE6E44" w:rsidRDefault="00CE6E44">
                                                      <w:pPr>
                                                        <w:spacing w:line="252" w:lineRule="auto"/>
                                                        <w:jc w:val="both"/>
                                                        <w:rPr>
                                                          <w:rStyle w:val="lev"/>
                                                          <w:rFonts w:ascii="Arial" w:hAnsi="Arial" w:cs="Arial"/>
                                                          <w:color w:val="393939"/>
                                                          <w:lang w:eastAsia="en-US"/>
                                                        </w:rPr>
                                                      </w:pPr>
                                                      <w:r>
                                                        <w:rPr>
                                                          <w:rStyle w:val="lev"/>
                                                          <w:rFonts w:ascii="Arial" w:hAnsi="Arial" w:cs="Arial"/>
                                                          <w:color w:val="393939"/>
                                                          <w:lang w:eastAsia="en-US"/>
                                                        </w:rPr>
                                                        <w:t xml:space="preserve">Travail dominical : Élisabeth Borne demande aux préfets d’engager </w:t>
                                                      </w:r>
                                                    </w:p>
                                                    <w:p w:rsidR="00CE6E44" w:rsidRDefault="00CE6E44">
                                                      <w:pPr>
                                                        <w:spacing w:line="252" w:lineRule="auto"/>
                                                        <w:jc w:val="both"/>
                                                      </w:pPr>
                                                      <w:r>
                                                        <w:rPr>
                                                          <w:rStyle w:val="lev"/>
                                                          <w:rFonts w:ascii="Arial" w:hAnsi="Arial" w:cs="Arial"/>
                                                          <w:color w:val="393939"/>
                                                          <w:lang w:eastAsia="en-US"/>
                                                        </w:rPr>
                                                        <w:t>des concertations locales</w:t>
                                                      </w:r>
                                                    </w:p>
                                                  </w:tc>
                                                </w:tr>
                                              </w:tbl>
                                              <w:p w:rsidR="00CE6E44" w:rsidRDefault="00CE6E44">
                                                <w:pPr>
                                                  <w:rPr>
                                                    <w:rFonts w:eastAsia="Times New Roman"/>
                                                    <w:sz w:val="20"/>
                                                    <w:szCs w:val="20"/>
                                                  </w:rPr>
                                                </w:pPr>
                                              </w:p>
                                            </w:tc>
                                          </w:tr>
                                        </w:tbl>
                                        <w:p w:rsidR="00CE6E44" w:rsidRDefault="00CE6E44">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73"/>
                                          </w:tblGrid>
                                          <w:tr w:rsidR="00CE6E4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3"/>
                                                </w:tblGrid>
                                                <w:tr w:rsidR="00CE6E44">
                                                  <w:trPr>
                                                    <w:trHeight w:val="300"/>
                                                    <w:jc w:val="center"/>
                                                  </w:trPr>
                                                  <w:tc>
                                                    <w:tcPr>
                                                      <w:tcW w:w="0" w:type="auto"/>
                                                      <w:vAlign w:val="center"/>
                                                      <w:hideMark/>
                                                    </w:tcPr>
                                                    <w:p w:rsidR="00CE6E44" w:rsidRDefault="00CE6E44">
                                                      <w:pPr>
                                                        <w:spacing w:line="300" w:lineRule="exact"/>
                                                        <w:rPr>
                                                          <w:sz w:val="30"/>
                                                          <w:szCs w:val="30"/>
                                                          <w:lang w:eastAsia="en-US"/>
                                                        </w:rPr>
                                                      </w:pPr>
                                                      <w:r>
                                                        <w:rPr>
                                                          <w:sz w:val="30"/>
                                                          <w:szCs w:val="30"/>
                                                          <w:lang w:eastAsia="en-US"/>
                                                        </w:rPr>
                                                        <w:t xml:space="preserve">  </w:t>
                                                      </w:r>
                                                    </w:p>
                                                  </w:tc>
                                                </w:tr>
                                              </w:tbl>
                                              <w:p w:rsidR="00CE6E44" w:rsidRDefault="00CE6E44">
                                                <w:pPr>
                                                  <w:jc w:val="center"/>
                                                  <w:rPr>
                                                    <w:rFonts w:eastAsia="Times New Roman"/>
                                                    <w:sz w:val="20"/>
                                                    <w:szCs w:val="20"/>
                                                  </w:rPr>
                                                </w:pPr>
                                              </w:p>
                                            </w:tc>
                                          </w:tr>
                                        </w:tbl>
                                        <w:p w:rsidR="00CE6E44" w:rsidRDefault="00CE6E44">
                                          <w:pPr>
                                            <w:rPr>
                                              <w:rFonts w:eastAsia="Times New Roman"/>
                                              <w:sz w:val="20"/>
                                              <w:szCs w:val="20"/>
                                            </w:rPr>
                                          </w:pPr>
                                        </w:p>
                                      </w:tc>
                                    </w:tr>
                                  </w:tbl>
                                  <w:p w:rsidR="00CE6E44" w:rsidRDefault="00CE6E44">
                                    <w:pPr>
                                      <w:jc w:val="center"/>
                                      <w:rPr>
                                        <w:rFonts w:eastAsia="Times New Roman"/>
                                        <w:sz w:val="20"/>
                                        <w:szCs w:val="20"/>
                                      </w:rPr>
                                    </w:pPr>
                                  </w:p>
                                </w:tc>
                              </w:tr>
                            </w:tbl>
                            <w:p w:rsidR="00CE6E44" w:rsidRDefault="00CE6E44">
                              <w:pPr>
                                <w:jc w:val="center"/>
                                <w:rPr>
                                  <w:rFonts w:eastAsia="Times New Roman"/>
                                  <w:sz w:val="20"/>
                                  <w:szCs w:val="20"/>
                                </w:rPr>
                              </w:pPr>
                            </w:p>
                          </w:tc>
                          <w:tc>
                            <w:tcPr>
                              <w:tcW w:w="150" w:type="dxa"/>
                              <w:shd w:val="clear" w:color="auto" w:fill="FFFFFF"/>
                              <w:vAlign w:val="center"/>
                              <w:hideMark/>
                            </w:tcPr>
                            <w:p w:rsidR="00CE6E44" w:rsidRDefault="00CE6E44">
                              <w:pPr>
                                <w:rPr>
                                  <w:rFonts w:eastAsia="Times New Roman"/>
                                  <w:sz w:val="20"/>
                                  <w:szCs w:val="20"/>
                                </w:rPr>
                              </w:pPr>
                            </w:p>
                          </w:tc>
                        </w:tr>
                      </w:tbl>
                      <w:p w:rsidR="00CE6E44" w:rsidRDefault="00CE6E44">
                        <w:pPr>
                          <w:rPr>
                            <w:rFonts w:eastAsia="Times New Roman"/>
                            <w:sz w:val="20"/>
                            <w:szCs w:val="20"/>
                          </w:rPr>
                        </w:pPr>
                      </w:p>
                    </w:tc>
                  </w:tr>
                  <w:tr w:rsidR="00CE6E44">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E6E44">
                          <w:tc>
                            <w:tcPr>
                              <w:tcW w:w="150" w:type="dxa"/>
                              <w:shd w:val="clear" w:color="auto" w:fill="FFFFFF"/>
                              <w:vAlign w:val="center"/>
                              <w:hideMark/>
                            </w:tcPr>
                            <w:p w:rsidR="00CE6E44" w:rsidRDefault="00CE6E4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E6E4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E6E4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E6E44">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CE6E44">
                                                  <w:tc>
                                                    <w:tcPr>
                                                      <w:tcW w:w="0" w:type="auto"/>
                                                      <w:vAlign w:val="center"/>
                                                    </w:tcPr>
                                                    <w:p w:rsidR="00CE6E44" w:rsidRDefault="00CE6E44">
                                                      <w:pPr>
                                                        <w:spacing w:line="252" w:lineRule="auto"/>
                                                        <w:jc w:val="both"/>
                                                        <w:rPr>
                                                          <w:rFonts w:ascii="Arial" w:hAnsi="Arial" w:cs="Arial"/>
                                                          <w:b/>
                                                          <w:bCs/>
                                                          <w:sz w:val="21"/>
                                                          <w:szCs w:val="21"/>
                                                          <w:lang w:eastAsia="en-US"/>
                                                        </w:rPr>
                                                      </w:pPr>
                                                      <w:r>
                                                        <w:rPr>
                                                          <w:rFonts w:ascii="Arial" w:hAnsi="Arial" w:cs="Arial"/>
                                                          <w:b/>
                                                          <w:bCs/>
                                                          <w:sz w:val="21"/>
                                                          <w:szCs w:val="21"/>
                                                          <w:lang w:eastAsia="en-US"/>
                                                        </w:rPr>
                                                        <w:t>Élisabeth Borne, ministre du Travail, de l’Emploi et de l’Insertion, a adressé une instruction aux préfets leur demandant d’initier dès maintenant des concertations locales avec les acteurs de leur territoire en vue d’accorder par arrêté des dérogations exceptionnelles au travail dominical qui s’imposeraient dans les toutes prochaines semaines, en tenant compte des demandes et des spécificités propres à chaque département.</w:t>
                                                      </w:r>
                                                    </w:p>
                                                    <w:p w:rsidR="00CE6E44" w:rsidRDefault="00CE6E44">
                                                      <w:pPr>
                                                        <w:spacing w:line="252" w:lineRule="auto"/>
                                                        <w:jc w:val="both"/>
                                                        <w:rPr>
                                                          <w:rFonts w:ascii="Arial" w:hAnsi="Arial" w:cs="Arial"/>
                                                          <w:b/>
                                                          <w:bCs/>
                                                          <w:sz w:val="21"/>
                                                          <w:szCs w:val="21"/>
                                                          <w:lang w:eastAsia="en-US"/>
                                                        </w:rPr>
                                                      </w:pPr>
                                                    </w:p>
                                                    <w:p w:rsidR="00CE6E44" w:rsidRDefault="00CE6E44">
                                                      <w:pPr>
                                                        <w:spacing w:line="252" w:lineRule="auto"/>
                                                        <w:jc w:val="both"/>
                                                        <w:rPr>
                                                          <w:rFonts w:ascii="Arial" w:hAnsi="Arial" w:cs="Arial"/>
                                                          <w:sz w:val="21"/>
                                                          <w:szCs w:val="21"/>
                                                          <w:lang w:eastAsia="en-US"/>
                                                        </w:rPr>
                                                      </w:pPr>
                                                      <w:r>
                                                        <w:rPr>
                                                          <w:rFonts w:ascii="Arial" w:hAnsi="Arial" w:cs="Arial"/>
                                                          <w:sz w:val="21"/>
                                                          <w:szCs w:val="21"/>
                                                          <w:lang w:eastAsia="en-US"/>
                                                        </w:rPr>
                                                        <w:t>Pour permettre aux commerces de rattraper la baisse du chiffre d’affaires subie en raison des fermetures administratives et afin d’étaler les flux de clients sur l’ensemble de la semaine pour limiter au maximum la circulation du virus, des dérogations exceptionnelles pourront être accordées par les préfets pour permettre aux commerces d’ouvrir le dimanche ces prochaines semaines.</w:t>
                                                      </w:r>
                                                    </w:p>
                                                    <w:p w:rsidR="00CE6E44" w:rsidRDefault="00CE6E44">
                                                      <w:pPr>
                                                        <w:spacing w:line="252" w:lineRule="auto"/>
                                                        <w:jc w:val="both"/>
                                                        <w:rPr>
                                                          <w:rFonts w:ascii="Arial" w:hAnsi="Arial" w:cs="Arial"/>
                                                          <w:sz w:val="21"/>
                                                          <w:szCs w:val="21"/>
                                                          <w:lang w:eastAsia="en-US"/>
                                                        </w:rPr>
                                                      </w:pPr>
                                                    </w:p>
                                                    <w:p w:rsidR="00CE6E44" w:rsidRDefault="00CE6E44">
                                                      <w:pPr>
                                                        <w:spacing w:line="252" w:lineRule="auto"/>
                                                        <w:jc w:val="both"/>
                                                        <w:rPr>
                                                          <w:rFonts w:ascii="Arial" w:hAnsi="Arial" w:cs="Arial"/>
                                                          <w:sz w:val="21"/>
                                                          <w:szCs w:val="21"/>
                                                          <w:lang w:eastAsia="en-US"/>
                                                        </w:rPr>
                                                      </w:pPr>
                                                      <w:r>
                                                        <w:rPr>
                                                          <w:rFonts w:ascii="Arial" w:hAnsi="Arial" w:cs="Arial"/>
                                                          <w:sz w:val="21"/>
                                                          <w:szCs w:val="21"/>
                                                          <w:lang w:eastAsia="en-US"/>
                                                        </w:rPr>
                                                        <w:t>Comme en janvier 2021, ces dérogations découleront des concertations locales qui seront organisées par les préfets avec les acteurs économiques et partenaires sociaux de leur territoire, afin de répondre aux demandes et besoins propres à chaque département.</w:t>
                                                      </w:r>
                                                    </w:p>
                                                    <w:p w:rsidR="00CE6E44" w:rsidRDefault="00CE6E44">
                                                      <w:pPr>
                                                        <w:spacing w:line="252" w:lineRule="auto"/>
                                                        <w:jc w:val="both"/>
                                                        <w:rPr>
                                                          <w:rFonts w:ascii="Arial" w:hAnsi="Arial" w:cs="Arial"/>
                                                          <w:sz w:val="21"/>
                                                          <w:szCs w:val="21"/>
                                                          <w:lang w:eastAsia="en-US"/>
                                                        </w:rPr>
                                                      </w:pPr>
                                                    </w:p>
                                                    <w:p w:rsidR="00CE6E44" w:rsidRDefault="00CE6E44">
                                                      <w:pPr>
                                                        <w:spacing w:line="252" w:lineRule="auto"/>
                                                        <w:jc w:val="both"/>
                                                        <w:rPr>
                                                          <w:rFonts w:ascii="Arial" w:hAnsi="Arial" w:cs="Arial"/>
                                                          <w:sz w:val="21"/>
                                                          <w:szCs w:val="21"/>
                                                          <w:lang w:eastAsia="en-US"/>
                                                        </w:rPr>
                                                      </w:pPr>
                                                      <w:r>
                                                        <w:rPr>
                                                          <w:rFonts w:ascii="Arial" w:hAnsi="Arial" w:cs="Arial"/>
                                                          <w:sz w:val="21"/>
                                                          <w:szCs w:val="21"/>
                                                          <w:lang w:eastAsia="en-US"/>
                                                        </w:rPr>
                                                        <w:t>Les dérogations qui seraient accordées n’ont pas vocation à se substituer à celles déjà existantes, notamment celles accordées par le maire dans la limite de 12 dimanches par an.</w:t>
                                                      </w:r>
                                                    </w:p>
                                                    <w:p w:rsidR="00CE6E44" w:rsidRDefault="00CE6E44">
                                                      <w:pPr>
                                                        <w:spacing w:line="252" w:lineRule="auto"/>
                                                        <w:jc w:val="both"/>
                                                        <w:rPr>
                                                          <w:rFonts w:ascii="Arial" w:hAnsi="Arial" w:cs="Arial"/>
                                                          <w:sz w:val="21"/>
                                                          <w:szCs w:val="21"/>
                                                          <w:lang w:eastAsia="en-US"/>
                                                        </w:rPr>
                                                      </w:pPr>
                                                    </w:p>
                                                    <w:p w:rsidR="00CE6E44" w:rsidRDefault="00CE6E44">
                                                      <w:pPr>
                                                        <w:spacing w:line="252" w:lineRule="auto"/>
                                                        <w:jc w:val="both"/>
                                                        <w:rPr>
                                                          <w:rFonts w:ascii="Arial" w:hAnsi="Arial" w:cs="Arial"/>
                                                          <w:sz w:val="21"/>
                                                          <w:szCs w:val="21"/>
                                                          <w:lang w:eastAsia="en-US"/>
                                                        </w:rPr>
                                                      </w:pPr>
                                                      <w:r>
                                                        <w:rPr>
                                                          <w:rFonts w:ascii="Arial" w:hAnsi="Arial" w:cs="Arial"/>
                                                          <w:sz w:val="21"/>
                                                          <w:szCs w:val="21"/>
                                                          <w:lang w:eastAsia="en-US"/>
                                                        </w:rPr>
                                                        <w:t>Par ailleurs, il est demandé aux préfets de rappeler aux entreprises concernées que l’ensemble des garanties accordées aux salariés dans le cadre du travail dominical doivent être respectées. Cela concerne tant le volontariat du salarié que les contreparties qui lui sont accordées, notamment en termes de salaire et de repos compensateur. Le salarié qui refuse de travailler le dimanche ne peut en aucun cas faire l’objet d’une mesure discriminatoire dans l’exécution de son contrat de travail et son refus de travailler le dimanche ne constitue pas une faute ou un motif de licenciement.</w:t>
                                                      </w:r>
                                                    </w:p>
                                                    <w:p w:rsidR="00CE6E44" w:rsidRDefault="00CE6E44">
                                                      <w:pPr>
                                                        <w:spacing w:line="252" w:lineRule="auto"/>
                                                        <w:jc w:val="both"/>
                                                        <w:rPr>
                                                          <w:rFonts w:ascii="Arial" w:hAnsi="Arial" w:cs="Arial"/>
                                                          <w:sz w:val="21"/>
                                                          <w:szCs w:val="21"/>
                                                          <w:lang w:eastAsia="en-US"/>
                                                        </w:rPr>
                                                      </w:pPr>
                                                    </w:p>
                                                    <w:p w:rsidR="00CE6E44" w:rsidRDefault="00CE6E44">
                                                      <w:pPr>
                                                        <w:spacing w:line="252" w:lineRule="auto"/>
                                                        <w:jc w:val="both"/>
                                                        <w:rPr>
                                                          <w:rFonts w:ascii="Arial" w:hAnsi="Arial" w:cs="Arial"/>
                                                          <w:b/>
                                                          <w:bCs/>
                                                          <w:sz w:val="21"/>
                                                          <w:szCs w:val="21"/>
                                                          <w:lang w:eastAsia="en-US"/>
                                                        </w:rPr>
                                                      </w:pPr>
                                                      <w:r>
                                                        <w:rPr>
                                                          <w:rFonts w:ascii="Arial" w:hAnsi="Arial" w:cs="Arial"/>
                                                          <w:b/>
                                                          <w:bCs/>
                                                          <w:sz w:val="21"/>
                                                          <w:szCs w:val="21"/>
                                                          <w:lang w:eastAsia="en-US"/>
                                                        </w:rPr>
                                                        <w:t>« </w:t>
                                                      </w:r>
                                                      <w:r>
                                                        <w:rPr>
                                                          <w:rFonts w:ascii="Arial" w:hAnsi="Arial" w:cs="Arial"/>
                                                          <w:i/>
                                                          <w:iCs/>
                                                          <w:sz w:val="21"/>
                                                          <w:szCs w:val="21"/>
                                                          <w:lang w:eastAsia="en-US"/>
                                                        </w:rPr>
                                                        <w:t>Le Gouvernement souhaite prendre toutes les dispositions nécessaires pour faciliter la reprise économique de notre pays. Cela doit se faire dans le cadre d’un dialogue direct avec les acteurs concernés, territoire par territoire, et dans le strict respect des droits des salariés</w:t>
                                                      </w:r>
                                                      <w:r>
                                                        <w:rPr>
                                                          <w:rFonts w:ascii="Arial" w:hAnsi="Arial" w:cs="Arial"/>
                                                          <w:b/>
                                                          <w:bCs/>
                                                          <w:sz w:val="21"/>
                                                          <w:szCs w:val="21"/>
                                                          <w:lang w:eastAsia="en-US"/>
                                                        </w:rPr>
                                                        <w:t xml:space="preserve"> » </w:t>
                                                      </w:r>
                                                      <w:r>
                                                        <w:rPr>
                                                          <w:rFonts w:ascii="Arial" w:hAnsi="Arial" w:cs="Arial"/>
                                                          <w:sz w:val="21"/>
                                                          <w:szCs w:val="21"/>
                                                          <w:lang w:eastAsia="en-US"/>
                                                        </w:rPr>
                                                        <w:t>déclare</w:t>
                                                      </w:r>
                                                      <w:r>
                                                        <w:rPr>
                                                          <w:rFonts w:ascii="Arial" w:hAnsi="Arial" w:cs="Arial"/>
                                                          <w:b/>
                                                          <w:bCs/>
                                                          <w:sz w:val="21"/>
                                                          <w:szCs w:val="21"/>
                                                          <w:lang w:eastAsia="en-US"/>
                                                        </w:rPr>
                                                        <w:t xml:space="preserve"> Élisabeth Borne, ministre du Travail, de l’Emploi et de l’Insertion. </w:t>
                                                      </w:r>
                                                    </w:p>
                                                  </w:tc>
                                                </w:tr>
                                              </w:tbl>
                                              <w:tbl>
                                                <w:tblPr>
                                                  <w:tblW w:w="0" w:type="auto"/>
                                                  <w:jc w:val="center"/>
                                                  <w:tblCellMar>
                                                    <w:left w:w="0" w:type="dxa"/>
                                                    <w:right w:w="0" w:type="dxa"/>
                                                  </w:tblCellMar>
                                                  <w:tblLook w:val="04A0" w:firstRow="1" w:lastRow="0" w:firstColumn="1" w:lastColumn="0" w:noHBand="0" w:noVBand="1"/>
                                                </w:tblPr>
                                                <w:tblGrid>
                                                  <w:gridCol w:w="59"/>
                                                </w:tblGrid>
                                                <w:tr w:rsidR="00CE6E44">
                                                  <w:trPr>
                                                    <w:trHeight w:val="150"/>
                                                    <w:jc w:val="center"/>
                                                  </w:trPr>
                                                  <w:tc>
                                                    <w:tcPr>
                                                      <w:tcW w:w="0" w:type="auto"/>
                                                      <w:vAlign w:val="center"/>
                                                      <w:hideMark/>
                                                    </w:tcPr>
                                                    <w:p w:rsidR="00CE6E44" w:rsidRDefault="00CE6E44">
                                                      <w:pPr>
                                                        <w:spacing w:line="150" w:lineRule="exact"/>
                                                        <w:rPr>
                                                          <w:rFonts w:ascii="Arial" w:hAnsi="Arial" w:cs="Arial"/>
                                                          <w:sz w:val="21"/>
                                                          <w:szCs w:val="21"/>
                                                          <w:lang w:eastAsia="en-US"/>
                                                        </w:rPr>
                                                      </w:pPr>
                                                      <w:r>
                                                        <w:rPr>
                                                          <w:rFonts w:ascii="Arial" w:hAnsi="Arial" w:cs="Arial"/>
                                                          <w:sz w:val="21"/>
                                                          <w:szCs w:val="21"/>
                                                          <w:lang w:eastAsia="en-US"/>
                                                        </w:rPr>
                                                        <w:t xml:space="preserve">  </w:t>
                                                      </w:r>
                                                    </w:p>
                                                  </w:tc>
                                                </w:tr>
                                              </w:tbl>
                                              <w:p w:rsidR="00CE6E44" w:rsidRDefault="00CE6E44">
                                                <w:pPr>
                                                  <w:jc w:val="center"/>
                                                  <w:rPr>
                                                    <w:rFonts w:eastAsia="Times New Roman"/>
                                                    <w:sz w:val="20"/>
                                                    <w:szCs w:val="20"/>
                                                  </w:rPr>
                                                </w:pPr>
                                              </w:p>
                                            </w:tc>
                                          </w:tr>
                                        </w:tbl>
                                        <w:p w:rsidR="00CE6E44" w:rsidRDefault="00CE6E44">
                                          <w:pPr>
                                            <w:rPr>
                                              <w:rFonts w:eastAsia="Times New Roman"/>
                                              <w:sz w:val="20"/>
                                              <w:szCs w:val="20"/>
                                            </w:rPr>
                                          </w:pPr>
                                        </w:p>
                                      </w:tc>
                                    </w:tr>
                                  </w:tbl>
                                  <w:p w:rsidR="00CE6E44" w:rsidRDefault="00CE6E44">
                                    <w:pPr>
                                      <w:jc w:val="center"/>
                                      <w:rPr>
                                        <w:rFonts w:eastAsia="Times New Roman"/>
                                        <w:sz w:val="20"/>
                                        <w:szCs w:val="20"/>
                                      </w:rPr>
                                    </w:pPr>
                                  </w:p>
                                </w:tc>
                              </w:tr>
                            </w:tbl>
                            <w:p w:rsidR="00CE6E44" w:rsidRDefault="00CE6E44">
                              <w:pPr>
                                <w:jc w:val="center"/>
                                <w:rPr>
                                  <w:rFonts w:eastAsia="Times New Roman"/>
                                  <w:sz w:val="20"/>
                                  <w:szCs w:val="20"/>
                                </w:rPr>
                              </w:pPr>
                            </w:p>
                          </w:tc>
                          <w:tc>
                            <w:tcPr>
                              <w:tcW w:w="150" w:type="dxa"/>
                              <w:shd w:val="clear" w:color="auto" w:fill="FFFFFF"/>
                              <w:vAlign w:val="center"/>
                              <w:hideMark/>
                            </w:tcPr>
                            <w:p w:rsidR="00CE6E44" w:rsidRDefault="00CE6E44">
                              <w:pPr>
                                <w:rPr>
                                  <w:rFonts w:eastAsia="Times New Roman"/>
                                  <w:sz w:val="20"/>
                                  <w:szCs w:val="20"/>
                                </w:rPr>
                              </w:pPr>
                            </w:p>
                          </w:tc>
                        </w:tr>
                      </w:tbl>
                      <w:p w:rsidR="00CE6E44" w:rsidRDefault="00CE6E44">
                        <w:pPr>
                          <w:rPr>
                            <w:rFonts w:eastAsia="Times New Roman"/>
                            <w:sz w:val="20"/>
                            <w:szCs w:val="20"/>
                          </w:rPr>
                        </w:pPr>
                      </w:p>
                    </w:tc>
                  </w:tr>
                  <w:tr w:rsidR="00CE6E44">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E6E44">
                          <w:tc>
                            <w:tcPr>
                              <w:tcW w:w="150" w:type="dxa"/>
                              <w:vAlign w:val="center"/>
                              <w:hideMark/>
                            </w:tcPr>
                            <w:p w:rsidR="00CE6E44" w:rsidRDefault="00CE6E44">
                              <w:pPr>
                                <w:rPr>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E6E4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E6E44">
                                      <w:trPr>
                                        <w:jc w:val="center"/>
                                      </w:trPr>
                                      <w:tc>
                                        <w:tcPr>
                                          <w:tcW w:w="5000" w:type="pct"/>
                                          <w:hideMark/>
                                        </w:tcPr>
                                        <w:p w:rsidR="00CE6E44" w:rsidRDefault="00CE6E44">
                                          <w:pPr>
                                            <w:rPr>
                                              <w:rFonts w:eastAsia="Times New Roman"/>
                                              <w:sz w:val="20"/>
                                              <w:szCs w:val="20"/>
                                            </w:rPr>
                                          </w:pPr>
                                          <w:bookmarkStart w:id="1" w:name="_GoBack"/>
                                          <w:bookmarkEnd w:id="1"/>
                                        </w:p>
                                      </w:tc>
                                    </w:tr>
                                  </w:tbl>
                                  <w:p w:rsidR="00CE6E44" w:rsidRDefault="00CE6E44">
                                    <w:pPr>
                                      <w:jc w:val="center"/>
                                      <w:rPr>
                                        <w:rFonts w:eastAsia="Times New Roman"/>
                                        <w:sz w:val="20"/>
                                        <w:szCs w:val="20"/>
                                      </w:rPr>
                                    </w:pPr>
                                  </w:p>
                                </w:tc>
                              </w:tr>
                            </w:tbl>
                            <w:p w:rsidR="00CE6E44" w:rsidRDefault="00CE6E44">
                              <w:pPr>
                                <w:jc w:val="center"/>
                                <w:rPr>
                                  <w:rFonts w:eastAsia="Times New Roman"/>
                                  <w:sz w:val="20"/>
                                  <w:szCs w:val="20"/>
                                </w:rPr>
                              </w:pPr>
                            </w:p>
                          </w:tc>
                          <w:tc>
                            <w:tcPr>
                              <w:tcW w:w="150" w:type="dxa"/>
                              <w:vAlign w:val="center"/>
                              <w:hideMark/>
                            </w:tcPr>
                            <w:p w:rsidR="00CE6E44" w:rsidRDefault="00CE6E44">
                              <w:pPr>
                                <w:rPr>
                                  <w:rFonts w:eastAsia="Times New Roman"/>
                                  <w:sz w:val="20"/>
                                  <w:szCs w:val="20"/>
                                </w:rPr>
                              </w:pPr>
                            </w:p>
                          </w:tc>
                        </w:tr>
                      </w:tbl>
                      <w:p w:rsidR="00CE6E44" w:rsidRDefault="00CE6E44">
                        <w:pPr>
                          <w:rPr>
                            <w:rFonts w:eastAsia="Times New Roman"/>
                            <w:sz w:val="20"/>
                            <w:szCs w:val="20"/>
                          </w:rPr>
                        </w:pPr>
                      </w:p>
                    </w:tc>
                  </w:tr>
                </w:tbl>
                <w:p w:rsidR="00CE6E44" w:rsidRDefault="00CE6E44">
                  <w:pPr>
                    <w:spacing w:line="252" w:lineRule="auto"/>
                    <w:rPr>
                      <w:sz w:val="20"/>
                      <w:szCs w:val="20"/>
                      <w:lang w:eastAsia="en-US"/>
                    </w:rPr>
                  </w:pPr>
                </w:p>
              </w:tc>
            </w:tr>
          </w:tbl>
          <w:p w:rsidR="00CE6E44" w:rsidRDefault="00CE6E44">
            <w:pPr>
              <w:jc w:val="center"/>
              <w:rPr>
                <w:rFonts w:eastAsia="Times New Roman"/>
                <w:sz w:val="20"/>
                <w:szCs w:val="20"/>
              </w:rPr>
            </w:pPr>
          </w:p>
        </w:tc>
      </w:tr>
      <w:bookmarkEnd w:id="0"/>
    </w:tbl>
    <w:p w:rsidR="00CE6E44" w:rsidRDefault="00CE6E44" w:rsidP="00CE6E44"/>
    <w:p w:rsidR="00570550" w:rsidRPr="00CE6E44" w:rsidRDefault="00F220FE" w:rsidP="00CE6E44"/>
    <w:sectPr w:rsidR="00570550" w:rsidRPr="00CE6E44" w:rsidSect="009F0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12"/>
    <w:rsid w:val="00146195"/>
    <w:rsid w:val="0041446F"/>
    <w:rsid w:val="00680280"/>
    <w:rsid w:val="008B775F"/>
    <w:rsid w:val="009F0712"/>
    <w:rsid w:val="00CE6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D8A1"/>
  <w15:chartTrackingRefBased/>
  <w15:docId w15:val="{FD415FB1-006C-4F8D-A59F-D85E85C6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1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F0712"/>
    <w:rPr>
      <w:color w:val="0000FF"/>
      <w:u w:val="single"/>
    </w:rPr>
  </w:style>
  <w:style w:type="paragraph" w:styleId="NormalWeb">
    <w:name w:val="Normal (Web)"/>
    <w:basedOn w:val="Normal"/>
    <w:uiPriority w:val="99"/>
    <w:unhideWhenUsed/>
    <w:rsid w:val="009F0712"/>
    <w:pPr>
      <w:spacing w:before="100" w:beforeAutospacing="1" w:after="100" w:afterAutospacing="1"/>
    </w:pPr>
  </w:style>
  <w:style w:type="character" w:styleId="lev">
    <w:name w:val="Strong"/>
    <w:basedOn w:val="Policepardfaut"/>
    <w:uiPriority w:val="22"/>
    <w:qFormat/>
    <w:rsid w:val="009F0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910">
      <w:bodyDiv w:val="1"/>
      <w:marLeft w:val="0"/>
      <w:marRight w:val="0"/>
      <w:marTop w:val="0"/>
      <w:marBottom w:val="0"/>
      <w:divBdr>
        <w:top w:val="none" w:sz="0" w:space="0" w:color="auto"/>
        <w:left w:val="none" w:sz="0" w:space="0" w:color="auto"/>
        <w:bottom w:val="none" w:sz="0" w:space="0" w:color="auto"/>
        <w:right w:val="none" w:sz="0" w:space="0" w:color="auto"/>
      </w:divBdr>
    </w:div>
    <w:div w:id="1238828902">
      <w:bodyDiv w:val="1"/>
      <w:marLeft w:val="0"/>
      <w:marRight w:val="0"/>
      <w:marTop w:val="0"/>
      <w:marBottom w:val="0"/>
      <w:divBdr>
        <w:top w:val="none" w:sz="0" w:space="0" w:color="auto"/>
        <w:left w:val="none" w:sz="0" w:space="0" w:color="auto"/>
        <w:bottom w:val="none" w:sz="0" w:space="0" w:color="auto"/>
        <w:right w:val="none" w:sz="0" w:space="0" w:color="auto"/>
      </w:divBdr>
    </w:div>
    <w:div w:id="2002849885">
      <w:bodyDiv w:val="1"/>
      <w:marLeft w:val="0"/>
      <w:marRight w:val="0"/>
      <w:marTop w:val="0"/>
      <w:marBottom w:val="0"/>
      <w:divBdr>
        <w:top w:val="none" w:sz="0" w:space="0" w:color="auto"/>
        <w:left w:val="none" w:sz="0" w:space="0" w:color="auto"/>
        <w:bottom w:val="none" w:sz="0" w:space="0" w:color="auto"/>
        <w:right w:val="none" w:sz="0" w:space="0" w:color="auto"/>
      </w:divBdr>
    </w:div>
    <w:div w:id="20603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png@01D745BE.5983514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2082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2</cp:revision>
  <cp:lastPrinted>2021-05-10T15:09:00Z</cp:lastPrinted>
  <dcterms:created xsi:type="dcterms:W3CDTF">2021-05-10T15:10:00Z</dcterms:created>
  <dcterms:modified xsi:type="dcterms:W3CDTF">2021-05-10T15:10:00Z</dcterms:modified>
</cp:coreProperties>
</file>