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AF5806" w:rsidTr="00AF5806">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F5806">
              <w:trPr>
                <w:trHeight w:val="150"/>
              </w:trPr>
              <w:tc>
                <w:tcPr>
                  <w:tcW w:w="9750" w:type="dxa"/>
                  <w:shd w:val="clear" w:color="auto" w:fill="FFFFFF"/>
                  <w:tcMar>
                    <w:top w:w="0" w:type="dxa"/>
                    <w:left w:w="150" w:type="dxa"/>
                    <w:bottom w:w="0" w:type="dxa"/>
                    <w:right w:w="150" w:type="dxa"/>
                  </w:tcMar>
                  <w:vAlign w:val="center"/>
                  <w:hideMark/>
                </w:tcPr>
                <w:p w:rsidR="00AF5806" w:rsidRDefault="00AF5806">
                  <w:pPr>
                    <w:spacing w:line="150" w:lineRule="exact"/>
                    <w:rPr>
                      <w:sz w:val="15"/>
                      <w:szCs w:val="15"/>
                      <w:lang w:eastAsia="en-US"/>
                    </w:rPr>
                  </w:pPr>
                  <w:r>
                    <w:rPr>
                      <w:sz w:val="15"/>
                      <w:szCs w:val="15"/>
                      <w:lang w:eastAsia="en-US"/>
                    </w:rPr>
                    <w:t xml:space="preserve">  </w:t>
                  </w:r>
                </w:p>
              </w:tc>
            </w:tr>
          </w:tbl>
          <w:p w:rsidR="00AF5806" w:rsidRDefault="00AF5806">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30"/>
              <w:gridCol w:w="8813"/>
              <w:gridCol w:w="129"/>
            </w:tblGrid>
            <w:tr w:rsidR="00AF5806">
              <w:trPr>
                <w:hidden/>
              </w:trPr>
              <w:tc>
                <w:tcPr>
                  <w:tcW w:w="150" w:type="dxa"/>
                  <w:shd w:val="clear" w:color="auto" w:fill="FFFFFF"/>
                  <w:vAlign w:val="center"/>
                  <w:hideMark/>
                </w:tcPr>
                <w:p w:rsidR="00AF5806" w:rsidRDefault="00AF5806">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AF580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AF58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AF5806">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3"/>
                                    </w:tblGrid>
                                    <w:tr w:rsidR="00AF5806">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2730"/>
                                          </w:tblGrid>
                                          <w:tr w:rsidR="00AF5806">
                                            <w:tc>
                                              <w:tcPr>
                                                <w:tcW w:w="0" w:type="auto"/>
                                                <w:vAlign w:val="center"/>
                                                <w:hideMark/>
                                              </w:tcPr>
                                              <w:p w:rsidR="00AF5806" w:rsidRDefault="00AF5806">
                                                <w:pPr>
                                                  <w:spacing w:line="0" w:lineRule="atLeast"/>
                                                  <w:rPr>
                                                    <w:sz w:val="2"/>
                                                    <w:szCs w:val="2"/>
                                                    <w:lang w:eastAsia="en-US"/>
                                                  </w:rPr>
                                                </w:pPr>
                                                <w:r>
                                                  <w:rPr>
                                                    <w:noProof/>
                                                    <w:sz w:val="2"/>
                                                    <w:szCs w:val="2"/>
                                                  </w:rPr>
                                                  <w:drawing>
                                                    <wp:inline distT="0" distB="0" distL="0" distR="0">
                                                      <wp:extent cx="1724025" cy="1428750"/>
                                                      <wp:effectExtent l="0" t="0" r="9525" b="0"/>
                                                      <wp:docPr id="2" name="Image 2" descr="cid:image007.png@01D753A7.15CF2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753A7.15CF25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1428750"/>
                                                              </a:xfrm>
                                                              <a:prstGeom prst="rect">
                                                                <a:avLst/>
                                                              </a:prstGeom>
                                                              <a:noFill/>
                                                              <a:ln>
                                                                <a:noFill/>
                                                              </a:ln>
                                                            </pic:spPr>
                                                          </pic:pic>
                                                        </a:graphicData>
                                                      </a:graphic>
                                                    </wp:inline>
                                                  </w:drawing>
                                                </w:r>
                                              </w:p>
                                            </w:tc>
                                          </w:tr>
                                        </w:tbl>
                                        <w:p w:rsidR="00AF5806" w:rsidRDefault="00AF5806">
                                          <w:pPr>
                                            <w:spacing w:line="252" w:lineRule="auto"/>
                                            <w:rPr>
                                              <w:sz w:val="20"/>
                                              <w:szCs w:val="20"/>
                                              <w:lang w:eastAsia="en-US"/>
                                            </w:rPr>
                                          </w:pPr>
                                          <w:r>
                                            <w:rPr>
                                              <w:noProof/>
                                            </w:rPr>
                                            <w:drawing>
                                              <wp:anchor distT="0" distB="0" distL="114300" distR="114300" simplePos="0" relativeHeight="251658240" behindDoc="0" locked="0" layoutInCell="1" allowOverlap="0">
                                                <wp:simplePos x="0" y="0"/>
                                                <wp:positionH relativeFrom="column">
                                                  <wp:align>right</wp:align>
                                                </wp:positionH>
                                                <wp:positionV relativeFrom="line">
                                                  <wp:align>top</wp:align>
                                                </wp:positionV>
                                                <wp:extent cx="2058035" cy="802640"/>
                                                <wp:effectExtent l="0" t="0" r="0" b="0"/>
                                                <wp:wrapTight wrapText="bothSides">
                                                  <wp:wrapPolygon edited="0">
                                                    <wp:start x="0" y="0"/>
                                                    <wp:lineTo x="0" y="21019"/>
                                                    <wp:lineTo x="21393" y="21019"/>
                                                    <wp:lineTo x="2139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035" cy="802640"/>
                                                        </a:xfrm>
                                                        <a:prstGeom prst="rect">
                                                          <a:avLst/>
                                                        </a:prstGeom>
                                                        <a:noFill/>
                                                      </pic:spPr>
                                                    </pic:pic>
                                                  </a:graphicData>
                                                </a:graphic>
                                                <wp14:sizeRelH relativeFrom="page">
                                                  <wp14:pctWidth>0</wp14:pctWidth>
                                                </wp14:sizeRelH>
                                                <wp14:sizeRelV relativeFrom="page">
                                                  <wp14:pctHeight>0</wp14:pctHeight>
                                                </wp14:sizeRelV>
                                              </wp:anchor>
                                            </w:drawing>
                                          </w:r>
                                        </w:p>
                                      </w:tc>
                                    </w:tr>
                                  </w:tbl>
                                  <w:p w:rsidR="00AF5806" w:rsidRDefault="00AF5806">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AF5806">
                                      <w:trPr>
                                        <w:trHeight w:val="300"/>
                                        <w:jc w:val="center"/>
                                      </w:trPr>
                                      <w:tc>
                                        <w:tcPr>
                                          <w:tcW w:w="0" w:type="auto"/>
                                          <w:vAlign w:val="center"/>
                                          <w:hideMark/>
                                        </w:tcPr>
                                        <w:p w:rsidR="00AF5806" w:rsidRDefault="00AF5806">
                                          <w:pPr>
                                            <w:spacing w:line="300" w:lineRule="exact"/>
                                            <w:rPr>
                                              <w:sz w:val="30"/>
                                              <w:szCs w:val="30"/>
                                              <w:lang w:eastAsia="en-US"/>
                                            </w:rPr>
                                          </w:pPr>
                                          <w:r>
                                            <w:rPr>
                                              <w:sz w:val="30"/>
                                              <w:szCs w:val="30"/>
                                              <w:lang w:eastAsia="en-US"/>
                                            </w:rPr>
                                            <w:t xml:space="preserve">  </w:t>
                                          </w:r>
                                        </w:p>
                                      </w:tc>
                                    </w:tr>
                                  </w:tbl>
                                  <w:p w:rsidR="00AF5806" w:rsidRDefault="000A62D9">
                                    <w:pPr>
                                      <w:spacing w:line="252" w:lineRule="auto"/>
                                      <w:jc w:val="center"/>
                                      <w:rPr>
                                        <w:sz w:val="20"/>
                                        <w:szCs w:val="20"/>
                                        <w:lang w:eastAsia="en-US"/>
                                      </w:rPr>
                                    </w:pPr>
                                    <w:r>
                                      <w:rPr>
                                        <w:noProof/>
                                      </w:rPr>
                                      <w:drawing>
                                        <wp:anchor distT="0" distB="0" distL="114300" distR="114300" simplePos="0" relativeHeight="251659264" behindDoc="0" locked="0" layoutInCell="1" allowOverlap="1">
                                          <wp:simplePos x="0" y="0"/>
                                          <wp:positionH relativeFrom="column">
                                            <wp:posOffset>2516505</wp:posOffset>
                                          </wp:positionH>
                                          <wp:positionV relativeFrom="page">
                                            <wp:posOffset>1528445</wp:posOffset>
                                          </wp:positionV>
                                          <wp:extent cx="561975" cy="55943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559435"/>
                                                  </a:xfrm>
                                                  <a:prstGeom prst="rect">
                                                    <a:avLst/>
                                                  </a:prstGeom>
                                                </pic:spPr>
                                              </pic:pic>
                                            </a:graphicData>
                                          </a:graphic>
                                          <wp14:sizeRelH relativeFrom="margin">
                                            <wp14:pctWidth>0</wp14:pctWidth>
                                          </wp14:sizeRelH>
                                          <wp14:sizeRelV relativeFrom="margin">
                                            <wp14:pctHeight>0</wp14:pctHeight>
                                          </wp14:sizeRelV>
                                        </wp:anchor>
                                      </w:drawing>
                                    </w:r>
                                  </w:p>
                                </w:tc>
                              </w:tr>
                            </w:tbl>
                            <w:p w:rsidR="00AF5806" w:rsidRDefault="00AF5806">
                              <w:pPr>
                                <w:rPr>
                                  <w:rFonts w:eastAsia="Times New Roman"/>
                                  <w:sz w:val="20"/>
                                  <w:szCs w:val="20"/>
                                </w:rPr>
                              </w:pPr>
                            </w:p>
                          </w:tc>
                        </w:tr>
                      </w:tbl>
                      <w:p w:rsidR="00AF5806" w:rsidRDefault="00AF5806">
                        <w:pPr>
                          <w:jc w:val="center"/>
                          <w:rPr>
                            <w:rFonts w:eastAsia="Times New Roman"/>
                            <w:sz w:val="20"/>
                            <w:szCs w:val="20"/>
                          </w:rPr>
                        </w:pPr>
                      </w:p>
                    </w:tc>
                  </w:tr>
                </w:tbl>
                <w:p w:rsidR="00AF5806" w:rsidRDefault="00AF5806">
                  <w:pPr>
                    <w:jc w:val="center"/>
                    <w:rPr>
                      <w:rFonts w:eastAsia="Times New Roman"/>
                      <w:sz w:val="20"/>
                      <w:szCs w:val="20"/>
                    </w:rPr>
                  </w:pPr>
                </w:p>
              </w:tc>
              <w:tc>
                <w:tcPr>
                  <w:tcW w:w="150" w:type="dxa"/>
                  <w:shd w:val="clear" w:color="auto" w:fill="FFFFFF"/>
                  <w:vAlign w:val="center"/>
                  <w:hideMark/>
                </w:tcPr>
                <w:p w:rsidR="00AF5806" w:rsidRDefault="00AF5806">
                  <w:pPr>
                    <w:rPr>
                      <w:rFonts w:eastAsia="Times New Roman"/>
                      <w:sz w:val="20"/>
                      <w:szCs w:val="20"/>
                    </w:rPr>
                  </w:pPr>
                </w:p>
              </w:tc>
            </w:tr>
          </w:tbl>
          <w:p w:rsidR="00AF5806" w:rsidRDefault="00AF5806">
            <w:pPr>
              <w:spacing w:line="252" w:lineRule="auto"/>
              <w:rPr>
                <w:sz w:val="20"/>
                <w:szCs w:val="20"/>
                <w:lang w:eastAsia="en-US"/>
              </w:rPr>
            </w:pPr>
          </w:p>
        </w:tc>
      </w:tr>
    </w:tbl>
    <w:p w:rsidR="00AF5806" w:rsidRDefault="00AF5806" w:rsidP="00AF5806">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AF5806" w:rsidTr="00AF5806">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F5806">
              <w:tc>
                <w:tcPr>
                  <w:tcW w:w="150" w:type="dxa"/>
                  <w:shd w:val="clear" w:color="auto" w:fill="FFFFFF"/>
                  <w:vAlign w:val="center"/>
                  <w:hideMark/>
                </w:tcPr>
                <w:p w:rsidR="00AF5806" w:rsidRDefault="00AF5806">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AF580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AF58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AF5806">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08"/>
                                    </w:tblGrid>
                                    <w:tr w:rsidR="00AF5806">
                                      <w:tc>
                                        <w:tcPr>
                                          <w:tcW w:w="0" w:type="auto"/>
                                          <w:vAlign w:val="center"/>
                                          <w:hideMark/>
                                        </w:tcPr>
                                        <w:p w:rsidR="00AF5806" w:rsidRDefault="00AF5806">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AF5806">
                                      <w:trPr>
                                        <w:trHeight w:val="300"/>
                                        <w:jc w:val="center"/>
                                      </w:trPr>
                                      <w:tc>
                                        <w:tcPr>
                                          <w:tcW w:w="0" w:type="auto"/>
                                          <w:vAlign w:val="center"/>
                                          <w:hideMark/>
                                        </w:tcPr>
                                        <w:p w:rsidR="00AF5806" w:rsidRDefault="00AF5806">
                                          <w:pPr>
                                            <w:spacing w:line="300" w:lineRule="exact"/>
                                            <w:rPr>
                                              <w:sz w:val="30"/>
                                              <w:szCs w:val="30"/>
                                              <w:lang w:eastAsia="en-US"/>
                                            </w:rPr>
                                          </w:pPr>
                                          <w:r>
                                            <w:rPr>
                                              <w:sz w:val="30"/>
                                              <w:szCs w:val="30"/>
                                              <w:lang w:eastAsia="en-US"/>
                                            </w:rPr>
                                            <w:t xml:space="preserve">  </w:t>
                                          </w:r>
                                        </w:p>
                                      </w:tc>
                                    </w:tr>
                                  </w:tbl>
                                  <w:p w:rsidR="00AF5806" w:rsidRDefault="00AF5806">
                                    <w:pPr>
                                      <w:jc w:val="center"/>
                                      <w:rPr>
                                        <w:rFonts w:eastAsia="Times New Roman"/>
                                        <w:sz w:val="20"/>
                                        <w:szCs w:val="20"/>
                                      </w:rPr>
                                    </w:pPr>
                                  </w:p>
                                </w:tc>
                              </w:tr>
                            </w:tbl>
                            <w:p w:rsidR="00AF5806" w:rsidRDefault="00AF5806">
                              <w:pPr>
                                <w:rPr>
                                  <w:rFonts w:eastAsia="Times New Roman"/>
                                  <w:sz w:val="20"/>
                                  <w:szCs w:val="20"/>
                                </w:rPr>
                              </w:pPr>
                            </w:p>
                          </w:tc>
                        </w:tr>
                      </w:tbl>
                      <w:p w:rsidR="00AF5806" w:rsidRDefault="00AF5806">
                        <w:pPr>
                          <w:jc w:val="center"/>
                          <w:rPr>
                            <w:rFonts w:eastAsia="Times New Roman"/>
                            <w:sz w:val="20"/>
                            <w:szCs w:val="20"/>
                          </w:rPr>
                        </w:pPr>
                      </w:p>
                    </w:tc>
                  </w:tr>
                </w:tbl>
                <w:p w:rsidR="00AF5806" w:rsidRDefault="00AF5806">
                  <w:pPr>
                    <w:jc w:val="center"/>
                    <w:rPr>
                      <w:rFonts w:eastAsia="Times New Roman"/>
                      <w:sz w:val="20"/>
                      <w:szCs w:val="20"/>
                    </w:rPr>
                  </w:pPr>
                </w:p>
              </w:tc>
              <w:tc>
                <w:tcPr>
                  <w:tcW w:w="150" w:type="dxa"/>
                  <w:shd w:val="clear" w:color="auto" w:fill="FFFFFF"/>
                  <w:vAlign w:val="center"/>
                  <w:hideMark/>
                </w:tcPr>
                <w:p w:rsidR="00AF5806" w:rsidRDefault="00AF5806">
                  <w:pPr>
                    <w:rPr>
                      <w:rFonts w:eastAsia="Times New Roman"/>
                      <w:sz w:val="20"/>
                      <w:szCs w:val="20"/>
                    </w:rPr>
                  </w:pPr>
                </w:p>
              </w:tc>
            </w:tr>
          </w:tbl>
          <w:p w:rsidR="00AF5806" w:rsidRDefault="00AF5806">
            <w:pPr>
              <w:rPr>
                <w:rFonts w:eastAsia="Times New Roman"/>
                <w:sz w:val="20"/>
                <w:szCs w:val="20"/>
              </w:rPr>
            </w:pPr>
          </w:p>
        </w:tc>
      </w:tr>
      <w:tr w:rsidR="00AF5806" w:rsidTr="00AF5806">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F5806">
              <w:tc>
                <w:tcPr>
                  <w:tcW w:w="150" w:type="dxa"/>
                  <w:shd w:val="clear" w:color="auto" w:fill="FFFFFF"/>
                  <w:vAlign w:val="center"/>
                  <w:hideMark/>
                </w:tcPr>
                <w:p w:rsidR="00AF5806" w:rsidRDefault="00AF580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AF580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AF58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F5806">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05"/>
                                    </w:tblGrid>
                                    <w:tr w:rsidR="00AF5806">
                                      <w:tc>
                                        <w:tcPr>
                                          <w:tcW w:w="0" w:type="auto"/>
                                          <w:vAlign w:val="center"/>
                                          <w:hideMark/>
                                        </w:tcPr>
                                        <w:p w:rsidR="00AF5806" w:rsidRDefault="00AF5806">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28/05/2021</w:t>
                                          </w:r>
                                        </w:p>
                                      </w:tc>
                                    </w:tr>
                                  </w:tbl>
                                  <w:p w:rsidR="00AF5806" w:rsidRDefault="00AF5806">
                                    <w:pPr>
                                      <w:rPr>
                                        <w:rFonts w:eastAsia="Times New Roman"/>
                                        <w:sz w:val="20"/>
                                        <w:szCs w:val="20"/>
                                      </w:rPr>
                                    </w:pPr>
                                  </w:p>
                                </w:tc>
                              </w:tr>
                            </w:tbl>
                            <w:p w:rsidR="00AF5806" w:rsidRDefault="00AF5806">
                              <w:pPr>
                                <w:rPr>
                                  <w:rFonts w:eastAsia="Times New Roman"/>
                                  <w:sz w:val="20"/>
                                  <w:szCs w:val="20"/>
                                </w:rPr>
                              </w:pPr>
                            </w:p>
                          </w:tc>
                        </w:tr>
                      </w:tbl>
                      <w:p w:rsidR="00AF5806" w:rsidRDefault="00AF5806">
                        <w:pPr>
                          <w:jc w:val="center"/>
                          <w:rPr>
                            <w:rFonts w:eastAsia="Times New Roman"/>
                            <w:sz w:val="20"/>
                            <w:szCs w:val="20"/>
                          </w:rPr>
                        </w:pPr>
                      </w:p>
                    </w:tc>
                  </w:tr>
                </w:tbl>
                <w:p w:rsidR="00AF5806" w:rsidRDefault="00AF5806">
                  <w:pPr>
                    <w:jc w:val="center"/>
                    <w:rPr>
                      <w:rFonts w:eastAsia="Times New Roman"/>
                      <w:sz w:val="20"/>
                      <w:szCs w:val="20"/>
                    </w:rPr>
                  </w:pPr>
                </w:p>
              </w:tc>
              <w:tc>
                <w:tcPr>
                  <w:tcW w:w="150" w:type="dxa"/>
                  <w:shd w:val="clear" w:color="auto" w:fill="FFFFFF"/>
                  <w:vAlign w:val="center"/>
                  <w:hideMark/>
                </w:tcPr>
                <w:p w:rsidR="00AF5806" w:rsidRDefault="00AF5806">
                  <w:pPr>
                    <w:rPr>
                      <w:rFonts w:eastAsia="Times New Roman"/>
                      <w:sz w:val="20"/>
                      <w:szCs w:val="20"/>
                    </w:rPr>
                  </w:pPr>
                </w:p>
              </w:tc>
            </w:tr>
          </w:tbl>
          <w:p w:rsidR="00AF5806" w:rsidRDefault="00AF5806">
            <w:pPr>
              <w:rPr>
                <w:rFonts w:eastAsia="Times New Roman"/>
                <w:sz w:val="20"/>
                <w:szCs w:val="20"/>
              </w:rPr>
            </w:pPr>
          </w:p>
        </w:tc>
      </w:tr>
    </w:tbl>
    <w:p w:rsidR="00AF5806" w:rsidRDefault="00AF5806" w:rsidP="00AF5806">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AF5806" w:rsidTr="00AF5806">
        <w:tc>
          <w:tcPr>
            <w:tcW w:w="0" w:type="auto"/>
            <w:vAlign w:val="center"/>
            <w:hideMark/>
          </w:tcPr>
          <w:tbl>
            <w:tblPr>
              <w:tblW w:w="0" w:type="auto"/>
              <w:tblCellMar>
                <w:left w:w="0" w:type="dxa"/>
                <w:right w:w="0" w:type="dxa"/>
              </w:tblCellMar>
              <w:tblLook w:val="04A0" w:firstRow="1" w:lastRow="0" w:firstColumn="1" w:lastColumn="0" w:noHBand="0" w:noVBand="1"/>
            </w:tblPr>
            <w:tblGrid>
              <w:gridCol w:w="94"/>
              <w:gridCol w:w="8884"/>
              <w:gridCol w:w="94"/>
            </w:tblGrid>
            <w:tr w:rsidR="00AF5806">
              <w:tc>
                <w:tcPr>
                  <w:tcW w:w="150" w:type="dxa"/>
                  <w:shd w:val="clear" w:color="auto" w:fill="FFFFFF"/>
                  <w:vAlign w:val="center"/>
                  <w:hideMark/>
                </w:tcPr>
                <w:p w:rsidR="00AF5806" w:rsidRDefault="00AF5806">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84"/>
                  </w:tblGrid>
                  <w:tr w:rsidR="00AF580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837"/>
                          <w:gridCol w:w="2047"/>
                        </w:tblGrid>
                        <w:tr w:rsidR="00AF5806">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6837"/>
                              </w:tblGrid>
                              <w:tr w:rsidR="00AF5806">
                                <w:tc>
                                  <w:tcPr>
                                    <w:tcW w:w="0" w:type="auto"/>
                                    <w:tcMar>
                                      <w:top w:w="300" w:type="dxa"/>
                                      <w:left w:w="300" w:type="dxa"/>
                                      <w:bottom w:w="300" w:type="dxa"/>
                                      <w:right w:w="300" w:type="dxa"/>
                                    </w:tcMar>
                                    <w:vAlign w:val="center"/>
                                    <w:hideMark/>
                                  </w:tcPr>
                                  <w:tbl>
                                    <w:tblPr>
                                      <w:tblpPr w:bottomFromText="25" w:vertAnchor="text"/>
                                      <w:tblW w:w="6237" w:type="dxa"/>
                                      <w:tblCellMar>
                                        <w:left w:w="0" w:type="dxa"/>
                                        <w:right w:w="0" w:type="dxa"/>
                                      </w:tblCellMar>
                                      <w:tblLook w:val="04A0" w:firstRow="1" w:lastRow="0" w:firstColumn="1" w:lastColumn="0" w:noHBand="0" w:noVBand="1"/>
                                    </w:tblPr>
                                    <w:tblGrid>
                                      <w:gridCol w:w="6237"/>
                                    </w:tblGrid>
                                    <w:tr w:rsidR="00AF5806">
                                      <w:tc>
                                        <w:tcPr>
                                          <w:tcW w:w="5000" w:type="pct"/>
                                          <w:vAlign w:val="center"/>
                                          <w:hideMark/>
                                        </w:tcPr>
                                        <w:p w:rsidR="00AF5806" w:rsidRDefault="00AF5806">
                                          <w:pPr>
                                            <w:spacing w:line="252" w:lineRule="auto"/>
                                            <w:jc w:val="both"/>
                                            <w:rPr>
                                              <w:rStyle w:val="lev"/>
                                              <w:rFonts w:ascii="Arial" w:hAnsi="Arial" w:cs="Arial"/>
                                              <w:color w:val="393939"/>
                                              <w:lang w:eastAsia="en-US"/>
                                            </w:rPr>
                                          </w:pPr>
                                          <w:r>
                                            <w:rPr>
                                              <w:rStyle w:val="lev"/>
                                              <w:rFonts w:ascii="Arial" w:hAnsi="Arial" w:cs="Arial"/>
                                              <w:color w:val="393939"/>
                                              <w:lang w:eastAsia="en-US"/>
                                            </w:rPr>
                                            <w:t xml:space="preserve">Garantie jeunes : Élisabeth Borne et Brigitte </w:t>
                                          </w:r>
                                          <w:proofErr w:type="spellStart"/>
                                          <w:r>
                                            <w:rPr>
                                              <w:rStyle w:val="lev"/>
                                              <w:rFonts w:ascii="Arial" w:hAnsi="Arial" w:cs="Arial"/>
                                              <w:color w:val="393939"/>
                                              <w:lang w:eastAsia="en-US"/>
                                            </w:rPr>
                                            <w:t>Klinkert</w:t>
                                          </w:r>
                                          <w:proofErr w:type="spellEnd"/>
                                          <w:r>
                                            <w:rPr>
                                              <w:rStyle w:val="lev"/>
                                              <w:rFonts w:ascii="Arial" w:hAnsi="Arial" w:cs="Arial"/>
                                              <w:color w:val="393939"/>
                                              <w:lang w:eastAsia="en-US"/>
                                            </w:rPr>
                                            <w:t xml:space="preserve"> élargissent les critères d’accès en concertation avec les Missions Locales</w:t>
                                          </w:r>
                                        </w:p>
                                      </w:tc>
                                    </w:tr>
                                  </w:tbl>
                                  <w:p w:rsidR="00AF5806" w:rsidRDefault="00AF5806">
                                    <w:pPr>
                                      <w:rPr>
                                        <w:rFonts w:eastAsia="Times New Roman"/>
                                        <w:sz w:val="20"/>
                                        <w:szCs w:val="20"/>
                                      </w:rPr>
                                    </w:pPr>
                                  </w:p>
                                </w:tc>
                              </w:tr>
                            </w:tbl>
                            <w:p w:rsidR="00AF5806" w:rsidRDefault="00AF5806">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2047"/>
                              </w:tblGrid>
                              <w:tr w:rsidR="00AF580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AF5806">
                                      <w:trPr>
                                        <w:trHeight w:val="300"/>
                                        <w:jc w:val="center"/>
                                      </w:trPr>
                                      <w:tc>
                                        <w:tcPr>
                                          <w:tcW w:w="0" w:type="auto"/>
                                          <w:vAlign w:val="center"/>
                                          <w:hideMark/>
                                        </w:tcPr>
                                        <w:p w:rsidR="00AF5806" w:rsidRDefault="00AF5806">
                                          <w:pPr>
                                            <w:spacing w:line="300" w:lineRule="exact"/>
                                            <w:rPr>
                                              <w:sz w:val="30"/>
                                              <w:szCs w:val="30"/>
                                              <w:lang w:eastAsia="en-US"/>
                                            </w:rPr>
                                          </w:pPr>
                                          <w:r>
                                            <w:rPr>
                                              <w:sz w:val="30"/>
                                              <w:szCs w:val="30"/>
                                              <w:lang w:eastAsia="en-US"/>
                                            </w:rPr>
                                            <w:t xml:space="preserve">  </w:t>
                                          </w:r>
                                        </w:p>
                                      </w:tc>
                                    </w:tr>
                                  </w:tbl>
                                  <w:p w:rsidR="00AF5806" w:rsidRDefault="00AF5806">
                                    <w:pPr>
                                      <w:jc w:val="center"/>
                                      <w:rPr>
                                        <w:rFonts w:eastAsia="Times New Roman"/>
                                        <w:sz w:val="20"/>
                                        <w:szCs w:val="20"/>
                                      </w:rPr>
                                    </w:pPr>
                                  </w:p>
                                </w:tc>
                              </w:tr>
                            </w:tbl>
                            <w:p w:rsidR="00AF5806" w:rsidRDefault="00AF5806">
                              <w:pPr>
                                <w:rPr>
                                  <w:rFonts w:eastAsia="Times New Roman"/>
                                  <w:sz w:val="20"/>
                                  <w:szCs w:val="20"/>
                                </w:rPr>
                              </w:pPr>
                            </w:p>
                          </w:tc>
                        </w:tr>
                      </w:tbl>
                      <w:p w:rsidR="00AF5806" w:rsidRDefault="00AF5806">
                        <w:pPr>
                          <w:jc w:val="center"/>
                          <w:rPr>
                            <w:rFonts w:eastAsia="Times New Roman"/>
                            <w:sz w:val="20"/>
                            <w:szCs w:val="20"/>
                          </w:rPr>
                        </w:pPr>
                      </w:p>
                    </w:tc>
                  </w:tr>
                </w:tbl>
                <w:p w:rsidR="00AF5806" w:rsidRDefault="00AF5806">
                  <w:pPr>
                    <w:jc w:val="center"/>
                    <w:rPr>
                      <w:rFonts w:eastAsia="Times New Roman"/>
                      <w:sz w:val="20"/>
                      <w:szCs w:val="20"/>
                    </w:rPr>
                  </w:pPr>
                </w:p>
              </w:tc>
              <w:tc>
                <w:tcPr>
                  <w:tcW w:w="150" w:type="dxa"/>
                  <w:shd w:val="clear" w:color="auto" w:fill="FFFFFF"/>
                  <w:vAlign w:val="center"/>
                  <w:hideMark/>
                </w:tcPr>
                <w:p w:rsidR="00AF5806" w:rsidRDefault="00AF5806">
                  <w:pPr>
                    <w:rPr>
                      <w:rFonts w:eastAsia="Times New Roman"/>
                      <w:sz w:val="20"/>
                      <w:szCs w:val="20"/>
                    </w:rPr>
                  </w:pPr>
                </w:p>
              </w:tc>
            </w:tr>
          </w:tbl>
          <w:p w:rsidR="00AF5806" w:rsidRDefault="00AF5806">
            <w:pPr>
              <w:rPr>
                <w:rFonts w:eastAsia="Times New Roman"/>
                <w:sz w:val="20"/>
                <w:szCs w:val="20"/>
              </w:rPr>
            </w:pPr>
          </w:p>
        </w:tc>
      </w:tr>
      <w:tr w:rsidR="00AF5806" w:rsidTr="00AF5806">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AF5806">
              <w:tc>
                <w:tcPr>
                  <w:tcW w:w="150" w:type="dxa"/>
                  <w:shd w:val="clear" w:color="auto" w:fill="FFFFFF"/>
                  <w:vAlign w:val="center"/>
                  <w:hideMark/>
                </w:tcPr>
                <w:p w:rsidR="00AF5806" w:rsidRDefault="00AF580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AF580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AF58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4"/>
                              </w:tblGrid>
                              <w:tr w:rsidR="00AF5806">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14"/>
                                    </w:tblGrid>
                                    <w:tr w:rsidR="00AF5806">
                                      <w:tc>
                                        <w:tcPr>
                                          <w:tcW w:w="0" w:type="auto"/>
                                          <w:vAlign w:val="center"/>
                                        </w:tcPr>
                                        <w:p w:rsidR="001B4F65" w:rsidRDefault="001B4F65" w:rsidP="001B4F65">
                                          <w:pPr>
                                            <w:pStyle w:val="NormalWeb"/>
                                            <w:spacing w:before="0" w:beforeAutospacing="0" w:after="0" w:afterAutospacing="0" w:line="330" w:lineRule="exact"/>
                                            <w:jc w:val="both"/>
                                            <w:rPr>
                                              <w:rFonts w:ascii="Arial" w:hAnsi="Arial" w:cs="Arial"/>
                                              <w:color w:val="000000"/>
                                              <w:sz w:val="21"/>
                                              <w:szCs w:val="21"/>
                                              <w:lang w:eastAsia="en-US"/>
                                            </w:rPr>
                                          </w:pPr>
                                          <w:r>
                                            <w:rPr>
                                              <w:rFonts w:ascii="Arial" w:hAnsi="Arial" w:cs="Arial"/>
                                              <w:color w:val="000000"/>
                                              <w:sz w:val="21"/>
                                              <w:szCs w:val="21"/>
                                              <w:lang w:eastAsia="en-US"/>
                                            </w:rPr>
                                            <w:t xml:space="preserve">La Garantie jeunes est un dispositif efficace : plus de la moitié des jeunes accompagnés par les Missions Locales s’insèrent dans le monde professionnel grâce à cet accompagnement au bout de six mois. C’est pourquoi dans le cadre du plan « 1 jeune, 1 solution », </w:t>
                                          </w:r>
                                          <w:r>
                                            <w:rPr>
                                              <w:rFonts w:ascii="Arial" w:hAnsi="Arial" w:cs="Arial"/>
                                              <w:b/>
                                              <w:bCs/>
                                              <w:color w:val="000000"/>
                                              <w:sz w:val="21"/>
                                              <w:szCs w:val="21"/>
                                              <w:lang w:eastAsia="en-US"/>
                                            </w:rPr>
                                            <w:t>le Gouvernement a doublé le nombre de bénéficiaires de la Garantie jeunes, pour qu’en 2021, 200 000 jeunes sans emploi ni formation puissent être ainsi accompagnés dans leur insertion professionnelle</w:t>
                                          </w:r>
                                          <w:r>
                                            <w:rPr>
                                              <w:rFonts w:ascii="Arial" w:hAnsi="Arial" w:cs="Arial"/>
                                              <w:color w:val="000000"/>
                                              <w:sz w:val="21"/>
                                              <w:szCs w:val="21"/>
                                              <w:lang w:eastAsia="en-US"/>
                                            </w:rPr>
                                            <w:t>.</w:t>
                                          </w:r>
                                        </w:p>
                                        <w:p w:rsidR="00AF5806" w:rsidRDefault="00AF5806" w:rsidP="00AF5806">
                                          <w:pPr>
                                            <w:pStyle w:val="NormalWeb"/>
                                            <w:spacing w:before="0" w:beforeAutospacing="0" w:after="0" w:afterAutospacing="0" w:line="330" w:lineRule="exact"/>
                                            <w:jc w:val="both"/>
                                            <w:rPr>
                                              <w:rFonts w:ascii="Arial" w:hAnsi="Arial" w:cs="Arial"/>
                                              <w:color w:val="000000"/>
                                              <w:sz w:val="21"/>
                                              <w:szCs w:val="21"/>
                                              <w:lang w:eastAsia="en-US"/>
                                            </w:rPr>
                                          </w:pPr>
                                        </w:p>
                                        <w:p w:rsidR="00AF5806" w:rsidRDefault="00AF5806" w:rsidP="00AF5806">
                                          <w:pPr>
                                            <w:pStyle w:val="NormalWeb"/>
                                            <w:spacing w:before="0" w:beforeAutospacing="0" w:after="0" w:afterAutospacing="0" w:line="330" w:lineRule="exact"/>
                                            <w:jc w:val="both"/>
                                            <w:rPr>
                                              <w:rFonts w:ascii="Arial" w:hAnsi="Arial" w:cs="Arial"/>
                                              <w:b/>
                                              <w:bCs/>
                                              <w:color w:val="000000"/>
                                              <w:sz w:val="21"/>
                                              <w:szCs w:val="21"/>
                                              <w:lang w:eastAsia="en-US"/>
                                            </w:rPr>
                                          </w:pPr>
                                          <w:r>
                                            <w:rPr>
                                              <w:rFonts w:ascii="Arial" w:hAnsi="Arial" w:cs="Arial"/>
                                              <w:color w:val="000000"/>
                                              <w:sz w:val="21"/>
                                              <w:szCs w:val="21"/>
                                              <w:lang w:eastAsia="en-US"/>
                                            </w:rPr>
                                            <w:t xml:space="preserve">Pour cela, dans le décret publié aujourd’hui, en application de propositions formulées par l’Union nationale des Missions Locales et par le Conseil d’orientation des politiques de jeunesse, </w:t>
                                          </w:r>
                                          <w:r>
                                            <w:rPr>
                                              <w:rFonts w:ascii="Arial" w:hAnsi="Arial" w:cs="Arial"/>
                                              <w:b/>
                                              <w:bCs/>
                                              <w:color w:val="000000"/>
                                              <w:sz w:val="21"/>
                                              <w:szCs w:val="21"/>
                                              <w:lang w:eastAsia="en-US"/>
                                            </w:rPr>
                                            <w:t>le Gouvernement assouplit les critères d'éligibilité en matière de non-imposition, de ressources et de durée des parcours.</w:t>
                                          </w:r>
                                        </w:p>
                                        <w:p w:rsidR="00AF5806" w:rsidRDefault="00AF5806" w:rsidP="00AF5806">
                                          <w:pPr>
                                            <w:pStyle w:val="NormalWeb"/>
                                            <w:spacing w:line="330" w:lineRule="exact"/>
                                            <w:jc w:val="both"/>
                                            <w:rPr>
                                              <w:rFonts w:ascii="Arial" w:hAnsi="Arial" w:cs="Arial"/>
                                              <w:b/>
                                              <w:bCs/>
                                              <w:color w:val="000000"/>
                                              <w:sz w:val="21"/>
                                              <w:szCs w:val="21"/>
                                              <w:lang w:eastAsia="en-US"/>
                                            </w:rPr>
                                          </w:pPr>
                                          <w:r>
                                            <w:rPr>
                                              <w:rFonts w:ascii="Arial" w:hAnsi="Arial" w:cs="Arial"/>
                                              <w:b/>
                                              <w:bCs/>
                                              <w:color w:val="000000"/>
                                              <w:sz w:val="21"/>
                                              <w:szCs w:val="21"/>
                                              <w:lang w:eastAsia="en-US"/>
                                            </w:rPr>
                                            <w:t xml:space="preserve">Quels sont les changements introduits ? </w:t>
                                          </w:r>
                                        </w:p>
                                        <w:p w:rsidR="00AF5806" w:rsidRDefault="00AF5806" w:rsidP="00AF5806">
                                          <w:pPr>
                                            <w:pStyle w:val="NormalWeb"/>
                                            <w:numPr>
                                              <w:ilvl w:val="0"/>
                                              <w:numId w:val="1"/>
                                            </w:numPr>
                                            <w:spacing w:line="330" w:lineRule="exact"/>
                                            <w:jc w:val="both"/>
                                            <w:rPr>
                                              <w:rFonts w:ascii="Arial" w:hAnsi="Arial" w:cs="Arial"/>
                                              <w:color w:val="000000"/>
                                              <w:sz w:val="21"/>
                                              <w:szCs w:val="21"/>
                                              <w:lang w:eastAsia="en-US"/>
                                            </w:rPr>
                                          </w:pPr>
                                          <w:r>
                                            <w:rPr>
                                              <w:rFonts w:ascii="Arial" w:hAnsi="Arial" w:cs="Arial"/>
                                              <w:b/>
                                              <w:bCs/>
                                              <w:color w:val="000000"/>
                                              <w:sz w:val="21"/>
                                              <w:szCs w:val="21"/>
                                              <w:lang w:eastAsia="en-US"/>
                                            </w:rPr>
                                            <w:t>Les jeunes pourront être reconnus</w:t>
                                          </w:r>
                                          <w:r>
                                            <w:rPr>
                                              <w:rFonts w:ascii="Arial" w:hAnsi="Arial" w:cs="Arial"/>
                                              <w:color w:val="000000"/>
                                              <w:sz w:val="21"/>
                                              <w:szCs w:val="21"/>
                                              <w:lang w:eastAsia="en-US"/>
                                            </w:rPr>
                                            <w:t xml:space="preserve">, à titre exceptionnel et par leur conseiller, comme </w:t>
                                          </w:r>
                                          <w:r>
                                            <w:rPr>
                                              <w:rFonts w:ascii="Arial" w:hAnsi="Arial" w:cs="Arial"/>
                                              <w:b/>
                                              <w:bCs/>
                                              <w:color w:val="000000"/>
                                              <w:sz w:val="21"/>
                                              <w:szCs w:val="21"/>
                                              <w:lang w:eastAsia="en-US"/>
                                            </w:rPr>
                                            <w:t>autonomes du foyer fiscal de leurs parents</w:t>
                                          </w:r>
                                          <w:r>
                                            <w:rPr>
                                              <w:rFonts w:ascii="Arial" w:hAnsi="Arial" w:cs="Arial"/>
                                              <w:color w:val="000000"/>
                                              <w:sz w:val="21"/>
                                              <w:szCs w:val="21"/>
                                              <w:lang w:eastAsia="en-US"/>
                                            </w:rPr>
                                            <w:t xml:space="preserve">. Jusqu’à présent, la </w:t>
                                          </w:r>
                                          <w:r>
                                            <w:rPr>
                                              <w:rFonts w:ascii="Arial" w:hAnsi="Arial" w:cs="Arial"/>
                                              <w:color w:val="000000"/>
                                              <w:sz w:val="21"/>
                                              <w:szCs w:val="21"/>
                                              <w:lang w:eastAsia="en-US"/>
                                            </w:rPr>
                                            <w:lastRenderedPageBreak/>
                                            <w:t>situation inverse pouvait dissuader certains jeunes d’entrer dans le dispositif par peur de causer des difficultés financières à leur famille ;</w:t>
                                          </w:r>
                                        </w:p>
                                        <w:p w:rsidR="00AF5806" w:rsidRDefault="00AF5806" w:rsidP="00AF5806">
                                          <w:pPr>
                                            <w:pStyle w:val="NormalWeb"/>
                                            <w:numPr>
                                              <w:ilvl w:val="0"/>
                                              <w:numId w:val="1"/>
                                            </w:numPr>
                                            <w:spacing w:line="330" w:lineRule="exact"/>
                                            <w:jc w:val="both"/>
                                            <w:rPr>
                                              <w:rFonts w:ascii="Arial" w:hAnsi="Arial" w:cs="Arial"/>
                                              <w:color w:val="000000"/>
                                              <w:sz w:val="21"/>
                                              <w:szCs w:val="21"/>
                                              <w:lang w:eastAsia="en-US"/>
                                            </w:rPr>
                                          </w:pPr>
                                          <w:r>
                                            <w:rPr>
                                              <w:rFonts w:ascii="Arial" w:hAnsi="Arial" w:cs="Arial"/>
                                              <w:b/>
                                              <w:bCs/>
                                              <w:color w:val="000000"/>
                                              <w:sz w:val="21"/>
                                              <w:szCs w:val="21"/>
                                              <w:lang w:eastAsia="en-US"/>
                                            </w:rPr>
                                            <w:t>Les ressources prises en compte pour intégrer la Garantie jeunes seront évaluées soit sur 6 mois soit sur 3 mois, selon ce qui leur est le plus favorable ;</w:t>
                                          </w:r>
                                        </w:p>
                                        <w:p w:rsidR="00AF5806" w:rsidRDefault="00AF5806" w:rsidP="00AF5806">
                                          <w:pPr>
                                            <w:pStyle w:val="NormalWeb"/>
                                            <w:numPr>
                                              <w:ilvl w:val="0"/>
                                              <w:numId w:val="1"/>
                                            </w:numPr>
                                            <w:spacing w:line="330" w:lineRule="exact"/>
                                            <w:jc w:val="both"/>
                                            <w:rPr>
                                              <w:rFonts w:ascii="Arial" w:hAnsi="Arial" w:cs="Arial"/>
                                              <w:color w:val="000000"/>
                                              <w:sz w:val="21"/>
                                              <w:szCs w:val="21"/>
                                              <w:lang w:eastAsia="en-US"/>
                                            </w:rPr>
                                          </w:pPr>
                                          <w:r>
                                            <w:rPr>
                                              <w:rFonts w:ascii="Arial" w:hAnsi="Arial" w:cs="Arial"/>
                                              <w:b/>
                                              <w:bCs/>
                                              <w:color w:val="000000"/>
                                              <w:sz w:val="21"/>
                                              <w:szCs w:val="21"/>
                                              <w:lang w:eastAsia="en-US"/>
                                            </w:rPr>
                                            <w:t xml:space="preserve">La durée du parcours d’accompagnement pourra être modulée de 9 à 18 mois </w:t>
                                          </w:r>
                                          <w:r>
                                            <w:rPr>
                                              <w:rFonts w:ascii="Arial" w:hAnsi="Arial" w:cs="Arial"/>
                                              <w:color w:val="000000"/>
                                              <w:sz w:val="21"/>
                                              <w:szCs w:val="21"/>
                                              <w:lang w:eastAsia="en-US"/>
                                            </w:rPr>
                                            <w:t>(au lieu de 12 mois).</w:t>
                                          </w:r>
                                        </w:p>
                                        <w:p w:rsidR="00AF5806" w:rsidRDefault="00AF5806" w:rsidP="00AF5806">
                                          <w:pPr>
                                            <w:pStyle w:val="NormalWeb"/>
                                            <w:spacing w:before="0" w:beforeAutospacing="0" w:after="0" w:afterAutospacing="0" w:line="330" w:lineRule="exact"/>
                                            <w:jc w:val="both"/>
                                            <w:rPr>
                                              <w:rFonts w:ascii="Arial" w:hAnsi="Arial" w:cs="Arial"/>
                                              <w:b/>
                                              <w:bCs/>
                                              <w:color w:val="000000"/>
                                              <w:sz w:val="21"/>
                                              <w:szCs w:val="21"/>
                                              <w:lang w:eastAsia="en-US"/>
                                            </w:rPr>
                                          </w:pPr>
                                          <w:r>
                                            <w:rPr>
                                              <w:rFonts w:ascii="Arial" w:hAnsi="Arial" w:cs="Arial"/>
                                              <w:color w:val="000000"/>
                                              <w:sz w:val="21"/>
                                              <w:szCs w:val="21"/>
                                              <w:lang w:eastAsia="en-US"/>
                                            </w:rPr>
                                            <w:t xml:space="preserve">Par ailleurs, </w:t>
                                          </w:r>
                                          <w:r>
                                            <w:rPr>
                                              <w:rFonts w:ascii="Arial" w:hAnsi="Arial" w:cs="Arial"/>
                                              <w:b/>
                                              <w:bCs/>
                                              <w:color w:val="000000"/>
                                              <w:sz w:val="21"/>
                                              <w:szCs w:val="21"/>
                                              <w:lang w:eastAsia="en-US"/>
                                            </w:rPr>
                                            <w:t>le financement de l’Etat aux Missions Locales,</w:t>
                                          </w:r>
                                          <w:r>
                                            <w:rPr>
                                              <w:rFonts w:ascii="Arial" w:hAnsi="Arial" w:cs="Arial"/>
                                              <w:color w:val="000000"/>
                                              <w:sz w:val="21"/>
                                              <w:szCs w:val="21"/>
                                              <w:lang w:eastAsia="en-US"/>
                                            </w:rPr>
                                            <w:t xml:space="preserve"> qui mettent en œuvre la Garantie jeunes sur tout le territoire, </w:t>
                                          </w:r>
                                          <w:r>
                                            <w:rPr>
                                              <w:rFonts w:ascii="Arial" w:hAnsi="Arial" w:cs="Arial"/>
                                              <w:b/>
                                              <w:bCs/>
                                              <w:color w:val="000000"/>
                                              <w:sz w:val="21"/>
                                              <w:szCs w:val="21"/>
                                              <w:lang w:eastAsia="en-US"/>
                                            </w:rPr>
                                            <w:t>a été augmenté de 140 millions d’euros, pour atteindre le montant inédit de 495 millions d’euros en 2021.</w:t>
                                          </w:r>
                                        </w:p>
                                        <w:p w:rsidR="00AF5806" w:rsidRDefault="00AF5806" w:rsidP="00AF5806">
                                          <w:pPr>
                                            <w:pStyle w:val="NormalWeb"/>
                                            <w:spacing w:line="330" w:lineRule="exact"/>
                                            <w:jc w:val="both"/>
                                            <w:rPr>
                                              <w:rFonts w:ascii="Arial" w:hAnsi="Arial" w:cs="Arial"/>
                                              <w:color w:val="000000"/>
                                              <w:sz w:val="21"/>
                                              <w:szCs w:val="21"/>
                                              <w:lang w:eastAsia="en-US"/>
                                            </w:rPr>
                                          </w:pPr>
                                          <w:r>
                                            <w:rPr>
                                              <w:rFonts w:ascii="Arial" w:hAnsi="Arial" w:cs="Arial"/>
                                              <w:color w:val="000000"/>
                                              <w:sz w:val="21"/>
                                              <w:szCs w:val="21"/>
                                              <w:lang w:eastAsia="en-US"/>
                                            </w:rPr>
                                            <w:t xml:space="preserve">Ces premiers assouplissements constituent une étape importante dans les travaux que conduit le ministère du Travail, de l’Emploi et de l’Insertion, en lien étroit avec Pôle emploi et avec l’Union nationale des Missions Locales, pour proposer à davantage de jeunes un accompagnement vers l’emploi assorti d’une allocation. </w:t>
                                          </w:r>
                                        </w:p>
                                        <w:p w:rsidR="00AF5806" w:rsidRDefault="00AF5806" w:rsidP="00AF5806">
                                          <w:pPr>
                                            <w:pStyle w:val="NormalWeb"/>
                                            <w:spacing w:line="330" w:lineRule="exact"/>
                                            <w:jc w:val="both"/>
                                            <w:rPr>
                                              <w:rFonts w:ascii="Arial" w:hAnsi="Arial" w:cs="Arial"/>
                                              <w:color w:val="000000"/>
                                              <w:sz w:val="21"/>
                                              <w:szCs w:val="21"/>
                                              <w:lang w:eastAsia="en-US"/>
                                            </w:rPr>
                                          </w:pPr>
                                          <w:r>
                                            <w:rPr>
                                              <w:rFonts w:ascii="Arial" w:hAnsi="Arial" w:cs="Arial"/>
                                              <w:color w:val="000000"/>
                                              <w:sz w:val="21"/>
                                              <w:szCs w:val="21"/>
                                              <w:lang w:eastAsia="en-US"/>
                                            </w:rPr>
                                            <w:t xml:space="preserve">Pour consulter le décret d’extension de la Garantie Jeunes paru au JO de ce matin : </w:t>
                                          </w:r>
                                          <w:hyperlink r:id="rId9" w:history="1">
                                            <w:r>
                                              <w:rPr>
                                                <w:rStyle w:val="Lienhypertexte"/>
                                                <w:rFonts w:ascii="Arial" w:hAnsi="Arial" w:cs="Arial"/>
                                                <w:sz w:val="21"/>
                                                <w:szCs w:val="21"/>
                                                <w:lang w:eastAsia="en-US"/>
                                              </w:rPr>
                                              <w:t xml:space="preserve">Décret n° 2021-664 du 26 mai 2021 relatif à la garantie jeunes - </w:t>
                                            </w:r>
                                          </w:hyperlink>
                                        </w:p>
                                        <w:p w:rsidR="00AF5806" w:rsidRDefault="00AF5806" w:rsidP="00AF5806">
                                          <w:pPr>
                                            <w:pStyle w:val="NormalWeb"/>
                                            <w:spacing w:before="0" w:beforeAutospacing="0" w:after="0" w:afterAutospacing="0" w:line="330" w:lineRule="exact"/>
                                            <w:jc w:val="both"/>
                                            <w:rPr>
                                              <w:rFonts w:ascii="Arial" w:hAnsi="Arial" w:cs="Arial"/>
                                              <w:b/>
                                              <w:bCs/>
                                              <w:color w:val="000000"/>
                                              <w:sz w:val="21"/>
                                              <w:szCs w:val="21"/>
                                              <w:lang w:eastAsia="en-US"/>
                                            </w:rPr>
                                          </w:pPr>
                                          <w:r>
                                            <w:rPr>
                                              <w:rFonts w:ascii="Arial" w:hAnsi="Arial" w:cs="Arial"/>
                                              <w:color w:val="000000"/>
                                              <w:sz w:val="21"/>
                                              <w:szCs w:val="21"/>
                                              <w:lang w:eastAsia="en-US"/>
                                            </w:rPr>
                                            <w:t xml:space="preserve">« </w:t>
                                          </w:r>
                                          <w:r>
                                            <w:rPr>
                                              <w:rFonts w:ascii="Arial" w:hAnsi="Arial" w:cs="Arial"/>
                                              <w:i/>
                                              <w:iCs/>
                                              <w:color w:val="000000"/>
                                              <w:sz w:val="21"/>
                                              <w:szCs w:val="21"/>
                                              <w:lang w:eastAsia="en-US"/>
                                            </w:rPr>
                                            <w:t xml:space="preserve">En assouplissant les conditions d’entrée en Garantie jeunes, nous voulons permettre à davantage de jeunes en difficulté de bénéficier de ce dispositif d’insertion vers l’emploi qui a fait ses preuves. C’est une mesure majeure pour permettre à ces jeunes sans emploi, ni formation de s’en sortir durablement et une première étape dans l’élargissement de la Garantie jeunes à davantage de jeunes. C’est un enjeu majeur pour favoriser l’égalité des chances </w:t>
                                          </w:r>
                                          <w:r>
                                            <w:rPr>
                                              <w:rFonts w:ascii="Arial" w:hAnsi="Arial" w:cs="Arial"/>
                                              <w:color w:val="000000"/>
                                              <w:sz w:val="21"/>
                                              <w:szCs w:val="21"/>
                                              <w:lang w:eastAsia="en-US"/>
                                            </w:rPr>
                                            <w:t xml:space="preserve">» </w:t>
                                          </w:r>
                                          <w:r>
                                            <w:rPr>
                                              <w:rFonts w:ascii="Arial" w:hAnsi="Arial" w:cs="Arial"/>
                                              <w:b/>
                                              <w:bCs/>
                                              <w:color w:val="000000"/>
                                              <w:sz w:val="21"/>
                                              <w:szCs w:val="21"/>
                                              <w:lang w:eastAsia="en-US"/>
                                            </w:rPr>
                                            <w:t>déclare Élisabeth Borne, ministre du Travail, de l’Emploi et de l’Insertion.</w:t>
                                          </w:r>
                                        </w:p>
                                        <w:p w:rsidR="00AF5806" w:rsidRDefault="00AF5806" w:rsidP="00AF5806">
                                          <w:pPr>
                                            <w:pStyle w:val="NormalWeb"/>
                                            <w:spacing w:before="0" w:beforeAutospacing="0" w:after="0" w:afterAutospacing="0" w:line="330" w:lineRule="exact"/>
                                            <w:jc w:val="both"/>
                                            <w:rPr>
                                              <w:rFonts w:ascii="Arial" w:hAnsi="Arial" w:cs="Arial"/>
                                              <w:b/>
                                              <w:bCs/>
                                              <w:color w:val="000000"/>
                                              <w:sz w:val="21"/>
                                              <w:szCs w:val="21"/>
                                              <w:lang w:eastAsia="en-US"/>
                                            </w:rPr>
                                          </w:pPr>
                                        </w:p>
                                        <w:p w:rsidR="00AF5806" w:rsidRDefault="00AF5806" w:rsidP="00AF5806">
                                          <w:pPr>
                                            <w:pStyle w:val="NormalWeb"/>
                                            <w:spacing w:before="0" w:beforeAutospacing="0" w:after="0" w:afterAutospacing="0" w:line="330" w:lineRule="exact"/>
                                            <w:jc w:val="both"/>
                                            <w:rPr>
                                              <w:rFonts w:ascii="Arial" w:hAnsi="Arial" w:cs="Arial"/>
                                              <w:b/>
                                              <w:bCs/>
                                              <w:color w:val="000000"/>
                                              <w:sz w:val="21"/>
                                              <w:szCs w:val="21"/>
                                              <w:lang w:eastAsia="en-US"/>
                                            </w:rPr>
                                          </w:pPr>
                                          <w:r>
                                            <w:rPr>
                                              <w:rFonts w:ascii="Arial" w:hAnsi="Arial" w:cs="Arial"/>
                                              <w:i/>
                                              <w:iCs/>
                                              <w:color w:val="000000"/>
                                              <w:sz w:val="21"/>
                                              <w:szCs w:val="21"/>
                                              <w:lang w:eastAsia="en-US"/>
                                            </w:rPr>
                                            <w:t>« Avec cet élargissement des critères d’entrée en Garantie jeunes nous souhaitons aller plus loin pour accompagner efficacement vers l’emploi les jeunes en difficulté. A travers les plus de trente Missions Locales que j’ai visitées, j’ai pu mesurer leur engagement fort et de chaque instant pour que chaque jeune trouve une solution</w:t>
                                          </w:r>
                                          <w:r>
                                            <w:rPr>
                                              <w:rFonts w:ascii="Arial" w:hAnsi="Arial" w:cs="Arial"/>
                                              <w:b/>
                                              <w:bCs/>
                                              <w:color w:val="000000"/>
                                              <w:sz w:val="21"/>
                                              <w:szCs w:val="21"/>
                                              <w:lang w:eastAsia="en-US"/>
                                            </w:rPr>
                                            <w:t xml:space="preserve"> » déclare Brigitte </w:t>
                                          </w:r>
                                          <w:proofErr w:type="spellStart"/>
                                          <w:r>
                                            <w:rPr>
                                              <w:rFonts w:ascii="Arial" w:hAnsi="Arial" w:cs="Arial"/>
                                              <w:b/>
                                              <w:bCs/>
                                              <w:color w:val="000000"/>
                                              <w:sz w:val="21"/>
                                              <w:szCs w:val="21"/>
                                              <w:lang w:eastAsia="en-US"/>
                                            </w:rPr>
                                            <w:t>Klinkert</w:t>
                                          </w:r>
                                          <w:proofErr w:type="spellEnd"/>
                                          <w:r>
                                            <w:rPr>
                                              <w:rFonts w:ascii="Arial" w:hAnsi="Arial" w:cs="Arial"/>
                                              <w:b/>
                                              <w:bCs/>
                                              <w:color w:val="000000"/>
                                              <w:sz w:val="21"/>
                                              <w:szCs w:val="21"/>
                                              <w:lang w:eastAsia="en-US"/>
                                            </w:rPr>
                                            <w:t>, ministre déléguée auprès de la ministre du travail, de l’emploi et de l’insertion, en charge de l’insertion.</w:t>
                                          </w:r>
                                        </w:p>
                                        <w:p w:rsidR="00AF5806" w:rsidRDefault="00AF5806" w:rsidP="00AF5806">
                                          <w:pPr>
                                            <w:pStyle w:val="NormalWeb"/>
                                            <w:spacing w:before="0" w:beforeAutospacing="0" w:after="0" w:afterAutospacing="0" w:line="330" w:lineRule="exact"/>
                                            <w:jc w:val="both"/>
                                            <w:rPr>
                                              <w:rFonts w:ascii="Arial" w:hAnsi="Arial" w:cs="Arial"/>
                                              <w:b/>
                                              <w:bCs/>
                                              <w:color w:val="000000"/>
                                              <w:sz w:val="21"/>
                                              <w:szCs w:val="21"/>
                                              <w:lang w:eastAsia="en-US"/>
                                            </w:rPr>
                                          </w:pPr>
                                        </w:p>
                                        <w:p w:rsidR="00AF5806" w:rsidRDefault="00AF5806" w:rsidP="00AF5806">
                                          <w:pPr>
                                            <w:pStyle w:val="NormalWeb"/>
                                            <w:spacing w:before="0" w:beforeAutospacing="0" w:after="0" w:afterAutospacing="0" w:line="330" w:lineRule="exact"/>
                                            <w:jc w:val="both"/>
                                            <w:rPr>
                                              <w:rFonts w:ascii="Arial" w:hAnsi="Arial" w:cs="Arial"/>
                                              <w:b/>
                                              <w:bCs/>
                                              <w:color w:val="000000"/>
                                              <w:sz w:val="21"/>
                                              <w:szCs w:val="21"/>
                                              <w:lang w:eastAsia="en-US"/>
                                            </w:rPr>
                                          </w:pPr>
                                          <w:r>
                                            <w:rPr>
                                              <w:rFonts w:ascii="Arial" w:hAnsi="Arial" w:cs="Arial"/>
                                              <w:i/>
                                              <w:iCs/>
                                              <w:color w:val="000000"/>
                                              <w:sz w:val="21"/>
                                              <w:szCs w:val="21"/>
                                              <w:lang w:eastAsia="en-US"/>
                                            </w:rPr>
                                            <w:t xml:space="preserve">« Très vite, au sortir du premier confinement, constatant qu’une partie des jeunes accompagnés ne pouvait, pour des raisons administratives, accéder à la Garantie jeunes alors même qu’il s’agissait de la solution la plus adaptée à leurs attentes et leurs besoins, nous avons proposé d’élargir les critères et trouvé une oreille attentive des Ministres sur le sujet. Nous nous réjouissons de ces évolutions qui permettront à davantage de jeunes </w:t>
                                          </w:r>
                                          <w:r>
                                            <w:rPr>
                                              <w:rFonts w:ascii="Arial" w:hAnsi="Arial" w:cs="Arial"/>
                                              <w:i/>
                                              <w:iCs/>
                                              <w:color w:val="000000"/>
                                              <w:sz w:val="21"/>
                                              <w:szCs w:val="21"/>
                                              <w:lang w:eastAsia="en-US"/>
                                            </w:rPr>
                                            <w:lastRenderedPageBreak/>
                                            <w:t>de bénéficier de ce dispositif</w:t>
                                          </w:r>
                                          <w:r>
                                            <w:rPr>
                                              <w:rFonts w:ascii="Arial" w:hAnsi="Arial" w:cs="Arial"/>
                                              <w:b/>
                                              <w:bCs/>
                                              <w:color w:val="000000"/>
                                              <w:sz w:val="21"/>
                                              <w:szCs w:val="21"/>
                                              <w:lang w:eastAsia="en-US"/>
                                            </w:rPr>
                                            <w:t xml:space="preserve"> </w:t>
                                          </w:r>
                                          <w:r>
                                            <w:rPr>
                                              <w:rFonts w:ascii="Arial" w:hAnsi="Arial" w:cs="Arial"/>
                                              <w:i/>
                                              <w:iCs/>
                                              <w:color w:val="000000"/>
                                              <w:sz w:val="21"/>
                                              <w:szCs w:val="21"/>
                                              <w:lang w:eastAsia="en-US"/>
                                            </w:rPr>
                                            <w:t>d’accompagnement qui a fait ses</w:t>
                                          </w:r>
                                          <w:r>
                                            <w:rPr>
                                              <w:rFonts w:ascii="Arial" w:hAnsi="Arial" w:cs="Arial"/>
                                              <w:b/>
                                              <w:bCs/>
                                              <w:color w:val="000000"/>
                                              <w:sz w:val="21"/>
                                              <w:szCs w:val="21"/>
                                              <w:lang w:eastAsia="en-US"/>
                                            </w:rPr>
                                            <w:t xml:space="preserve"> </w:t>
                                          </w:r>
                                          <w:r>
                                            <w:rPr>
                                              <w:rFonts w:ascii="Arial" w:hAnsi="Arial" w:cs="Arial"/>
                                              <w:i/>
                                              <w:iCs/>
                                              <w:color w:val="000000"/>
                                              <w:sz w:val="21"/>
                                              <w:szCs w:val="21"/>
                                              <w:lang w:eastAsia="en-US"/>
                                            </w:rPr>
                                            <w:t>preuves »</w:t>
                                          </w:r>
                                          <w:r>
                                            <w:rPr>
                                              <w:rFonts w:ascii="Arial" w:hAnsi="Arial" w:cs="Arial"/>
                                              <w:b/>
                                              <w:bCs/>
                                              <w:color w:val="000000"/>
                                              <w:sz w:val="21"/>
                                              <w:szCs w:val="21"/>
                                              <w:lang w:eastAsia="en-US"/>
                                            </w:rPr>
                                            <w:t xml:space="preserve"> déclare Stéphane </w:t>
                                          </w:r>
                                          <w:proofErr w:type="spellStart"/>
                                          <w:r>
                                            <w:rPr>
                                              <w:rFonts w:ascii="Arial" w:hAnsi="Arial" w:cs="Arial"/>
                                              <w:b/>
                                              <w:bCs/>
                                              <w:color w:val="000000"/>
                                              <w:sz w:val="21"/>
                                              <w:szCs w:val="21"/>
                                              <w:lang w:eastAsia="en-US"/>
                                            </w:rPr>
                                            <w:t>Valli</w:t>
                                          </w:r>
                                          <w:proofErr w:type="spellEnd"/>
                                          <w:r>
                                            <w:rPr>
                                              <w:rFonts w:ascii="Arial" w:hAnsi="Arial" w:cs="Arial"/>
                                              <w:b/>
                                              <w:bCs/>
                                              <w:color w:val="000000"/>
                                              <w:sz w:val="21"/>
                                              <w:szCs w:val="21"/>
                                              <w:lang w:eastAsia="en-US"/>
                                            </w:rPr>
                                            <w:t>, président de l’Union Nationale des Missions Locales.</w:t>
                                          </w:r>
                                          <w:r>
                                            <w:rPr>
                                              <w:rFonts w:ascii="Arial" w:hAnsi="Arial" w:cs="Arial"/>
                                              <w:color w:val="000000"/>
                                              <w:sz w:val="21"/>
                                              <w:szCs w:val="21"/>
                                              <w:lang w:eastAsia="en-US"/>
                                            </w:rPr>
                                            <w:t xml:space="preserve"> </w:t>
                                          </w:r>
                                        </w:p>
                                      </w:tc>
                                    </w:tr>
                                  </w:tbl>
                                  <w:tbl>
                                    <w:tblPr>
                                      <w:tblW w:w="0" w:type="auto"/>
                                      <w:jc w:val="center"/>
                                      <w:tblCellMar>
                                        <w:left w:w="0" w:type="dxa"/>
                                        <w:right w:w="0" w:type="dxa"/>
                                      </w:tblCellMar>
                                      <w:tblLook w:val="04A0" w:firstRow="1" w:lastRow="0" w:firstColumn="1" w:lastColumn="0" w:noHBand="0" w:noVBand="1"/>
                                    </w:tblPr>
                                    <w:tblGrid>
                                      <w:gridCol w:w="38"/>
                                    </w:tblGrid>
                                    <w:tr w:rsidR="00AF5806">
                                      <w:trPr>
                                        <w:trHeight w:val="150"/>
                                        <w:jc w:val="center"/>
                                      </w:trPr>
                                      <w:tc>
                                        <w:tcPr>
                                          <w:tcW w:w="0" w:type="auto"/>
                                          <w:vAlign w:val="center"/>
                                          <w:hideMark/>
                                        </w:tcPr>
                                        <w:p w:rsidR="00AF5806" w:rsidRDefault="00AF5806" w:rsidP="00AF5806">
                                          <w:pPr>
                                            <w:spacing w:line="150" w:lineRule="exact"/>
                                            <w:jc w:val="both"/>
                                            <w:rPr>
                                              <w:sz w:val="15"/>
                                              <w:szCs w:val="15"/>
                                              <w:lang w:eastAsia="en-US"/>
                                            </w:rPr>
                                          </w:pPr>
                                          <w:r>
                                            <w:rPr>
                                              <w:sz w:val="15"/>
                                              <w:szCs w:val="15"/>
                                              <w:lang w:eastAsia="en-US"/>
                                            </w:rPr>
                                            <w:lastRenderedPageBreak/>
                                            <w:t xml:space="preserve">  </w:t>
                                          </w:r>
                                        </w:p>
                                      </w:tc>
                                    </w:tr>
                                  </w:tbl>
                                  <w:p w:rsidR="00AF5806" w:rsidRDefault="00AF5806" w:rsidP="00AF5806">
                                    <w:pPr>
                                      <w:jc w:val="both"/>
                                      <w:rPr>
                                        <w:rFonts w:eastAsia="Times New Roman"/>
                                        <w:sz w:val="20"/>
                                        <w:szCs w:val="20"/>
                                      </w:rPr>
                                    </w:pPr>
                                  </w:p>
                                </w:tc>
                              </w:tr>
                            </w:tbl>
                            <w:p w:rsidR="00AF5806" w:rsidRDefault="00AF5806">
                              <w:pPr>
                                <w:rPr>
                                  <w:rFonts w:eastAsia="Times New Roman"/>
                                  <w:sz w:val="20"/>
                                  <w:szCs w:val="20"/>
                                </w:rPr>
                              </w:pPr>
                            </w:p>
                          </w:tc>
                        </w:tr>
                      </w:tbl>
                      <w:p w:rsidR="00AF5806" w:rsidRDefault="00AF5806">
                        <w:pPr>
                          <w:jc w:val="center"/>
                          <w:rPr>
                            <w:rFonts w:eastAsia="Times New Roman"/>
                            <w:sz w:val="20"/>
                            <w:szCs w:val="20"/>
                          </w:rPr>
                        </w:pPr>
                      </w:p>
                    </w:tc>
                  </w:tr>
                </w:tbl>
                <w:p w:rsidR="00AF5806" w:rsidRDefault="00AF5806">
                  <w:pPr>
                    <w:jc w:val="center"/>
                    <w:rPr>
                      <w:rFonts w:eastAsia="Times New Roman"/>
                      <w:sz w:val="20"/>
                      <w:szCs w:val="20"/>
                    </w:rPr>
                  </w:pPr>
                </w:p>
              </w:tc>
              <w:tc>
                <w:tcPr>
                  <w:tcW w:w="150" w:type="dxa"/>
                  <w:shd w:val="clear" w:color="auto" w:fill="FFFFFF"/>
                  <w:vAlign w:val="center"/>
                  <w:hideMark/>
                </w:tcPr>
                <w:p w:rsidR="00AF5806" w:rsidRDefault="00AF5806">
                  <w:pPr>
                    <w:rPr>
                      <w:rFonts w:eastAsia="Times New Roman"/>
                      <w:sz w:val="20"/>
                      <w:szCs w:val="20"/>
                    </w:rPr>
                  </w:pPr>
                </w:p>
              </w:tc>
            </w:tr>
          </w:tbl>
          <w:p w:rsidR="00AF5806" w:rsidRDefault="00AF5806">
            <w:pPr>
              <w:rPr>
                <w:rFonts w:eastAsia="Times New Roman"/>
                <w:sz w:val="20"/>
                <w:szCs w:val="20"/>
              </w:rPr>
            </w:pPr>
          </w:p>
        </w:tc>
      </w:tr>
    </w:tbl>
    <w:p w:rsidR="00AF5806" w:rsidRDefault="00AF5806" w:rsidP="00AF5806">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AF5806" w:rsidTr="00AF5806">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AF5806">
              <w:tc>
                <w:tcPr>
                  <w:tcW w:w="150" w:type="dxa"/>
                  <w:shd w:val="clear" w:color="auto" w:fill="FFFFFF"/>
                  <w:vAlign w:val="center"/>
                  <w:hideMark/>
                </w:tcPr>
                <w:p w:rsidR="00AF5806" w:rsidRDefault="00AF5806">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AF5806">
                    <w:trPr>
                      <w:jc w:val="center"/>
                    </w:trPr>
                    <w:tc>
                      <w:tcPr>
                        <w:tcW w:w="0" w:type="auto"/>
                        <w:shd w:val="clear" w:color="auto" w:fill="FFFFFF"/>
                        <w:vAlign w:val="center"/>
                        <w:hideMark/>
                      </w:tcPr>
                      <w:p w:rsidR="00AF5806" w:rsidRDefault="00AF5806">
                        <w:pPr>
                          <w:jc w:val="center"/>
                          <w:rPr>
                            <w:rFonts w:eastAsia="Times New Roman"/>
                            <w:sz w:val="20"/>
                            <w:szCs w:val="20"/>
                          </w:rPr>
                        </w:pPr>
                        <w:bookmarkStart w:id="0" w:name="_GoBack"/>
                        <w:bookmarkEnd w:id="0"/>
                      </w:p>
                    </w:tc>
                  </w:tr>
                </w:tbl>
                <w:p w:rsidR="00AF5806" w:rsidRDefault="00AF5806">
                  <w:pPr>
                    <w:jc w:val="center"/>
                    <w:rPr>
                      <w:rFonts w:eastAsia="Times New Roman"/>
                      <w:sz w:val="20"/>
                      <w:szCs w:val="20"/>
                    </w:rPr>
                  </w:pPr>
                </w:p>
              </w:tc>
              <w:tc>
                <w:tcPr>
                  <w:tcW w:w="150" w:type="dxa"/>
                  <w:shd w:val="clear" w:color="auto" w:fill="FFFFFF"/>
                  <w:vAlign w:val="center"/>
                  <w:hideMark/>
                </w:tcPr>
                <w:p w:rsidR="00AF5806" w:rsidRDefault="00AF5806">
                  <w:pPr>
                    <w:rPr>
                      <w:rFonts w:eastAsia="Times New Roman"/>
                      <w:sz w:val="20"/>
                      <w:szCs w:val="20"/>
                    </w:rPr>
                  </w:pPr>
                </w:p>
              </w:tc>
            </w:tr>
          </w:tbl>
          <w:p w:rsidR="00AF5806" w:rsidRDefault="00AF5806">
            <w:pPr>
              <w:rPr>
                <w:rFonts w:eastAsia="Times New Roman"/>
                <w:sz w:val="20"/>
                <w:szCs w:val="20"/>
              </w:rPr>
            </w:pPr>
          </w:p>
        </w:tc>
      </w:tr>
    </w:tbl>
    <w:p w:rsidR="00EF0F42" w:rsidRPr="00AF5806" w:rsidRDefault="00EF0F42" w:rsidP="00AF5806"/>
    <w:sectPr w:rsidR="00EF0F42" w:rsidRPr="00AF5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3A90"/>
    <w:multiLevelType w:val="hybridMultilevel"/>
    <w:tmpl w:val="A95CA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5F"/>
    <w:rsid w:val="000A62D9"/>
    <w:rsid w:val="001B4F65"/>
    <w:rsid w:val="00471451"/>
    <w:rsid w:val="00485366"/>
    <w:rsid w:val="00802A2D"/>
    <w:rsid w:val="008262CF"/>
    <w:rsid w:val="009C225F"/>
    <w:rsid w:val="00AF5806"/>
    <w:rsid w:val="00EF0F42"/>
    <w:rsid w:val="00F81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9FD6"/>
  <w15:chartTrackingRefBased/>
  <w15:docId w15:val="{BEE4BE38-8F3D-4995-96CE-B0EB5BEB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5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225F"/>
    <w:rPr>
      <w:color w:val="0000FF"/>
      <w:u w:val="single"/>
    </w:rPr>
  </w:style>
  <w:style w:type="paragraph" w:styleId="NormalWeb">
    <w:name w:val="Normal (Web)"/>
    <w:basedOn w:val="Normal"/>
    <w:uiPriority w:val="99"/>
    <w:unhideWhenUsed/>
    <w:rsid w:val="009C225F"/>
    <w:pPr>
      <w:spacing w:before="100" w:beforeAutospacing="1" w:after="100" w:afterAutospacing="1"/>
    </w:pPr>
  </w:style>
  <w:style w:type="character" w:styleId="lev">
    <w:name w:val="Strong"/>
    <w:basedOn w:val="Policepardfaut"/>
    <w:uiPriority w:val="22"/>
    <w:qFormat/>
    <w:rsid w:val="009C2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9095">
      <w:bodyDiv w:val="1"/>
      <w:marLeft w:val="0"/>
      <w:marRight w:val="0"/>
      <w:marTop w:val="0"/>
      <w:marBottom w:val="0"/>
      <w:divBdr>
        <w:top w:val="none" w:sz="0" w:space="0" w:color="auto"/>
        <w:left w:val="none" w:sz="0" w:space="0" w:color="auto"/>
        <w:bottom w:val="none" w:sz="0" w:space="0" w:color="auto"/>
        <w:right w:val="none" w:sz="0" w:space="0" w:color="auto"/>
      </w:divBdr>
    </w:div>
    <w:div w:id="1090658107">
      <w:bodyDiv w:val="1"/>
      <w:marLeft w:val="0"/>
      <w:marRight w:val="0"/>
      <w:marTop w:val="0"/>
      <w:marBottom w:val="0"/>
      <w:divBdr>
        <w:top w:val="none" w:sz="0" w:space="0" w:color="auto"/>
        <w:left w:val="none" w:sz="0" w:space="0" w:color="auto"/>
        <w:bottom w:val="none" w:sz="0" w:space="0" w:color="auto"/>
        <w:right w:val="none" w:sz="0" w:space="0" w:color="auto"/>
      </w:divBdr>
    </w:div>
    <w:div w:id="14642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png@01D753A7.15CF25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jorf/id/JORFTEXT0000435418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3408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2021-05-28T09:16:00Z</cp:lastPrinted>
  <dcterms:created xsi:type="dcterms:W3CDTF">2021-05-28T09:22:00Z</dcterms:created>
  <dcterms:modified xsi:type="dcterms:W3CDTF">2021-05-28T09:22:00Z</dcterms:modified>
</cp:coreProperties>
</file>