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768" w:type="pct"/>
        <w:shd w:val="clear" w:color="auto" w:fill="FFFFFF"/>
        <w:tblCellMar>
          <w:left w:w="0" w:type="dxa"/>
          <w:right w:w="0" w:type="dxa"/>
        </w:tblCellMar>
        <w:tblLook w:val="04A0" w:firstRow="1" w:lastRow="0" w:firstColumn="1" w:lastColumn="0" w:noHBand="0" w:noVBand="1"/>
      </w:tblPr>
      <w:tblGrid>
        <w:gridCol w:w="12074"/>
      </w:tblGrid>
      <w:tr w:rsidR="007E1201" w:rsidTr="007E1201">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10254"/>
            </w:tblGrid>
            <w:tr w:rsidR="007E1201">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10254"/>
                  </w:tblGrid>
                  <w:tr w:rsidR="007E1201">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7E1201">
                          <w:tc>
                            <w:tcPr>
                              <w:tcW w:w="150" w:type="dxa"/>
                              <w:vAlign w:val="center"/>
                              <w:hideMark/>
                            </w:tcPr>
                            <w:p w:rsidR="007E1201" w:rsidRDefault="007E1201">
                              <w:pPr>
                                <w:rPr>
                                  <w:sz w:val="20"/>
                                  <w:szCs w:val="20"/>
                                </w:rPr>
                              </w:pPr>
                              <w:bookmarkStart w:id="0" w:name="_MailOriginal"/>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7E1201">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7E120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7E1201">
                                            <w:tc>
                                              <w:tcPr>
                                                <w:tcW w:w="0" w:type="auto"/>
                                                <w:tcMar>
                                                  <w:top w:w="300" w:type="dxa"/>
                                                  <w:left w:w="300" w:type="dxa"/>
                                                  <w:bottom w:w="75" w:type="dxa"/>
                                                  <w:right w:w="300" w:type="dxa"/>
                                                </w:tcMar>
                                                <w:vAlign w:val="center"/>
                                                <w:hideMark/>
                                              </w:tcPr>
                                              <w:p w:rsidR="007E1201" w:rsidRDefault="007E1201">
                                                <w:pPr>
                                                  <w:rPr>
                                                    <w:rFonts w:eastAsia="Times New Roman"/>
                                                    <w:sz w:val="20"/>
                                                    <w:szCs w:val="20"/>
                                                  </w:rPr>
                                                </w:pPr>
                                              </w:p>
                                            </w:tc>
                                          </w:tr>
                                        </w:tbl>
                                        <w:p w:rsidR="007E1201" w:rsidRDefault="007E1201">
                                          <w:pPr>
                                            <w:rPr>
                                              <w:rFonts w:eastAsia="Times New Roman"/>
                                              <w:sz w:val="20"/>
                                              <w:szCs w:val="20"/>
                                            </w:rPr>
                                          </w:pPr>
                                        </w:p>
                                      </w:tc>
                                    </w:tr>
                                  </w:tbl>
                                  <w:p w:rsidR="007E1201" w:rsidRDefault="007E1201">
                                    <w:pPr>
                                      <w:jc w:val="center"/>
                                      <w:rPr>
                                        <w:rFonts w:eastAsia="Times New Roman"/>
                                        <w:sz w:val="20"/>
                                        <w:szCs w:val="20"/>
                                      </w:rPr>
                                    </w:pPr>
                                  </w:p>
                                </w:tc>
                              </w:tr>
                            </w:tbl>
                            <w:p w:rsidR="007E1201" w:rsidRDefault="007E1201">
                              <w:pPr>
                                <w:jc w:val="center"/>
                                <w:rPr>
                                  <w:rFonts w:eastAsia="Times New Roman"/>
                                  <w:sz w:val="20"/>
                                  <w:szCs w:val="20"/>
                                </w:rPr>
                              </w:pPr>
                            </w:p>
                          </w:tc>
                          <w:tc>
                            <w:tcPr>
                              <w:tcW w:w="150" w:type="dxa"/>
                              <w:vAlign w:val="center"/>
                              <w:hideMark/>
                            </w:tcPr>
                            <w:p w:rsidR="007E1201" w:rsidRDefault="007E1201">
                              <w:pPr>
                                <w:rPr>
                                  <w:rFonts w:eastAsia="Times New Roman"/>
                                  <w:sz w:val="20"/>
                                  <w:szCs w:val="20"/>
                                </w:rPr>
                              </w:pPr>
                            </w:p>
                          </w:tc>
                        </w:tr>
                      </w:tbl>
                      <w:p w:rsidR="007E1201" w:rsidRDefault="007E1201">
                        <w:pPr>
                          <w:rPr>
                            <w:rFonts w:eastAsia="Times New Roman"/>
                            <w:sz w:val="20"/>
                            <w:szCs w:val="20"/>
                          </w:rPr>
                        </w:pPr>
                      </w:p>
                    </w:tc>
                  </w:tr>
                  <w:tr w:rsidR="007E1201">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10254"/>
                        </w:tblGrid>
                        <w:tr w:rsidR="007E1201">
                          <w:trPr>
                            <w:trHeight w:val="150"/>
                          </w:trPr>
                          <w:tc>
                            <w:tcPr>
                              <w:tcW w:w="9750" w:type="dxa"/>
                              <w:shd w:val="clear" w:color="auto" w:fill="FFFFFF"/>
                              <w:tcMar>
                                <w:top w:w="0" w:type="dxa"/>
                                <w:left w:w="150" w:type="dxa"/>
                                <w:bottom w:w="0" w:type="dxa"/>
                                <w:right w:w="150" w:type="dxa"/>
                              </w:tcMar>
                              <w:vAlign w:val="center"/>
                              <w:hideMark/>
                            </w:tcPr>
                            <w:p w:rsidR="007E1201" w:rsidRDefault="007E1201">
                              <w:pPr>
                                <w:spacing w:line="150" w:lineRule="exact"/>
                                <w:rPr>
                                  <w:sz w:val="15"/>
                                  <w:szCs w:val="15"/>
                                  <w:lang w:eastAsia="en-US"/>
                                </w:rPr>
                              </w:pPr>
                              <w:r>
                                <w:rPr>
                                  <w:sz w:val="15"/>
                                  <w:szCs w:val="15"/>
                                  <w:lang w:eastAsia="en-US"/>
                                </w:rPr>
                                <w:t xml:space="preserve">  </w:t>
                              </w:r>
                            </w:p>
                          </w:tc>
                        </w:tr>
                      </w:tbl>
                      <w:p w:rsidR="007E1201" w:rsidRDefault="007E1201">
                        <w:pPr>
                          <w:spacing w:line="252" w:lineRule="auto"/>
                          <w:rPr>
                            <w:vanish/>
                            <w:lang w:eastAsia="en-US"/>
                          </w:rPr>
                        </w:pPr>
                      </w:p>
                      <w:tbl>
                        <w:tblPr>
                          <w:tblW w:w="0" w:type="auto"/>
                          <w:tblCellMar>
                            <w:left w:w="0" w:type="dxa"/>
                            <w:right w:w="0" w:type="dxa"/>
                          </w:tblCellMar>
                          <w:tblLook w:val="04A0" w:firstRow="1" w:lastRow="0" w:firstColumn="1" w:lastColumn="0" w:noHBand="0" w:noVBand="1"/>
                        </w:tblPr>
                        <w:tblGrid>
                          <w:gridCol w:w="150"/>
                          <w:gridCol w:w="9750"/>
                          <w:gridCol w:w="150"/>
                        </w:tblGrid>
                        <w:tr w:rsidR="007E1201">
                          <w:trPr>
                            <w:hidden/>
                          </w:trPr>
                          <w:tc>
                            <w:tcPr>
                              <w:tcW w:w="150" w:type="dxa"/>
                              <w:shd w:val="clear" w:color="auto" w:fill="FFFFFF"/>
                              <w:vAlign w:val="center"/>
                              <w:hideMark/>
                            </w:tcPr>
                            <w:p w:rsidR="007E1201" w:rsidRDefault="007E1201">
                              <w:pPr>
                                <w:rPr>
                                  <w:vanish/>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7E1201">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7E120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7E1201">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9750"/>
                                                </w:tblGrid>
                                                <w:tr w:rsidR="007E1201">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7E1201">
                                                        <w:tc>
                                                          <w:tcPr>
                                                            <w:tcW w:w="0" w:type="auto"/>
                                                            <w:vAlign w:val="center"/>
                                                            <w:hideMark/>
                                                          </w:tcPr>
                                                          <w:p w:rsidR="007E1201" w:rsidRDefault="007E1201">
                                                            <w:pPr>
                                                              <w:spacing w:line="0" w:lineRule="atLeast"/>
                                                              <w:rPr>
                                                                <w:sz w:val="2"/>
                                                                <w:szCs w:val="2"/>
                                                                <w:lang w:eastAsia="en-US"/>
                                                              </w:rPr>
                                                            </w:pPr>
                                                            <w:r>
                                                              <w:rPr>
                                                                <w:noProof/>
                                                                <w:sz w:val="2"/>
                                                                <w:szCs w:val="2"/>
                                                              </w:rPr>
                                                              <w:drawing>
                                                                <wp:inline distT="0" distB="0" distL="0" distR="0">
                                                                  <wp:extent cx="1714500" cy="1428750"/>
                                                                  <wp:effectExtent l="0" t="0" r="0" b="0"/>
                                                                  <wp:docPr id="1" name="Image 1" descr="cid:image001.png@01D70441.54C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0441.54CA7A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14500" cy="1428750"/>
                                                                          </a:xfrm>
                                                                          <a:prstGeom prst="rect">
                                                                            <a:avLst/>
                                                                          </a:prstGeom>
                                                                          <a:noFill/>
                                                                          <a:ln>
                                                                            <a:noFill/>
                                                                          </a:ln>
                                                                        </pic:spPr>
                                                                      </pic:pic>
                                                                    </a:graphicData>
                                                                  </a:graphic>
                                                                </wp:inline>
                                                              </w:drawing>
                                                            </w:r>
                                                          </w:p>
                                                        </w:tc>
                                                      </w:tr>
                                                    </w:tbl>
                                                    <w:p w:rsidR="007E1201" w:rsidRDefault="007E1201">
                                                      <w:pPr>
                                                        <w:rPr>
                                                          <w:rFonts w:eastAsia="Times New Roman"/>
                                                          <w:sz w:val="20"/>
                                                          <w:szCs w:val="20"/>
                                                        </w:rPr>
                                                      </w:pPr>
                                                    </w:p>
                                                  </w:tc>
                                                </w:tr>
                                              </w:tbl>
                                              <w:p w:rsidR="007E1201" w:rsidRDefault="007E1201">
                                                <w:pPr>
                                                  <w:spacing w:line="252" w:lineRule="auto"/>
                                                  <w:jc w:val="center"/>
                                                  <w:rPr>
                                                    <w:vanish/>
                                                    <w:lang w:eastAsia="en-US"/>
                                                  </w:rPr>
                                                </w:pPr>
                                              </w:p>
                                              <w:tbl>
                                                <w:tblPr>
                                                  <w:tblW w:w="0" w:type="auto"/>
                                                  <w:jc w:val="center"/>
                                                  <w:tblCellMar>
                                                    <w:left w:w="0" w:type="dxa"/>
                                                    <w:right w:w="0" w:type="dxa"/>
                                                  </w:tblCellMar>
                                                  <w:tblLook w:val="04A0" w:firstRow="1" w:lastRow="0" w:firstColumn="1" w:lastColumn="0" w:noHBand="0" w:noVBand="1"/>
                                                </w:tblPr>
                                                <w:tblGrid>
                                                  <w:gridCol w:w="75"/>
                                                </w:tblGrid>
                                                <w:tr w:rsidR="007E1201">
                                                  <w:trPr>
                                                    <w:trHeight w:val="300"/>
                                                    <w:jc w:val="center"/>
                                                  </w:trPr>
                                                  <w:tc>
                                                    <w:tcPr>
                                                      <w:tcW w:w="0" w:type="auto"/>
                                                      <w:vAlign w:val="center"/>
                                                      <w:hideMark/>
                                                    </w:tcPr>
                                                    <w:p w:rsidR="007E1201" w:rsidRDefault="007E1201">
                                                      <w:pPr>
                                                        <w:spacing w:line="300" w:lineRule="exact"/>
                                                        <w:rPr>
                                                          <w:sz w:val="30"/>
                                                          <w:szCs w:val="30"/>
                                                          <w:lang w:eastAsia="en-US"/>
                                                        </w:rPr>
                                                      </w:pPr>
                                                      <w:r>
                                                        <w:rPr>
                                                          <w:sz w:val="30"/>
                                                          <w:szCs w:val="30"/>
                                                          <w:lang w:eastAsia="en-US"/>
                                                        </w:rPr>
                                                        <w:t xml:space="preserve">  </w:t>
                                                      </w:r>
                                                    </w:p>
                                                  </w:tc>
                                                </w:tr>
                                              </w:tbl>
                                              <w:p w:rsidR="007E1201" w:rsidRDefault="007E1201">
                                                <w:pPr>
                                                  <w:spacing w:line="252" w:lineRule="auto"/>
                                                  <w:jc w:val="center"/>
                                                  <w:rPr>
                                                    <w:sz w:val="20"/>
                                                    <w:szCs w:val="20"/>
                                                    <w:lang w:eastAsia="en-US"/>
                                                  </w:rPr>
                                                </w:pPr>
                                              </w:p>
                                            </w:tc>
                                          </w:tr>
                                        </w:tbl>
                                        <w:p w:rsidR="007E1201" w:rsidRDefault="007E1201">
                                          <w:pPr>
                                            <w:rPr>
                                              <w:rFonts w:eastAsia="Times New Roman"/>
                                              <w:sz w:val="20"/>
                                              <w:szCs w:val="20"/>
                                            </w:rPr>
                                          </w:pPr>
                                        </w:p>
                                      </w:tc>
                                    </w:tr>
                                  </w:tbl>
                                  <w:p w:rsidR="007E1201" w:rsidRDefault="007E1201">
                                    <w:pPr>
                                      <w:jc w:val="center"/>
                                      <w:rPr>
                                        <w:rFonts w:eastAsia="Times New Roman"/>
                                        <w:sz w:val="20"/>
                                        <w:szCs w:val="20"/>
                                      </w:rPr>
                                    </w:pPr>
                                  </w:p>
                                </w:tc>
                              </w:tr>
                            </w:tbl>
                            <w:p w:rsidR="007E1201" w:rsidRDefault="007E1201">
                              <w:pPr>
                                <w:jc w:val="center"/>
                                <w:rPr>
                                  <w:rFonts w:eastAsia="Times New Roman"/>
                                  <w:sz w:val="20"/>
                                  <w:szCs w:val="20"/>
                                </w:rPr>
                              </w:pPr>
                            </w:p>
                          </w:tc>
                          <w:tc>
                            <w:tcPr>
                              <w:tcW w:w="150" w:type="dxa"/>
                              <w:shd w:val="clear" w:color="auto" w:fill="FFFFFF"/>
                              <w:vAlign w:val="center"/>
                              <w:hideMark/>
                            </w:tcPr>
                            <w:p w:rsidR="007E1201" w:rsidRDefault="007E1201">
                              <w:pPr>
                                <w:rPr>
                                  <w:rFonts w:eastAsia="Times New Roman"/>
                                  <w:sz w:val="20"/>
                                  <w:szCs w:val="20"/>
                                </w:rPr>
                              </w:pPr>
                            </w:p>
                          </w:tc>
                        </w:tr>
                      </w:tbl>
                      <w:p w:rsidR="007E1201" w:rsidRDefault="007E1201">
                        <w:pPr>
                          <w:spacing w:line="252" w:lineRule="auto"/>
                          <w:rPr>
                            <w:sz w:val="20"/>
                            <w:szCs w:val="20"/>
                            <w:lang w:eastAsia="en-US"/>
                          </w:rPr>
                        </w:pPr>
                      </w:p>
                    </w:tc>
                  </w:tr>
                  <w:tr w:rsidR="007E1201">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7E1201">
                          <w:tc>
                            <w:tcPr>
                              <w:tcW w:w="150" w:type="dxa"/>
                              <w:shd w:val="clear" w:color="auto" w:fill="FFFFFF"/>
                              <w:vAlign w:val="center"/>
                              <w:hideMark/>
                            </w:tcPr>
                            <w:p w:rsidR="007E1201" w:rsidRDefault="007E1201">
                              <w:pPr>
                                <w:rPr>
                                  <w:sz w:val="20"/>
                                  <w:szCs w:val="20"/>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7E1201">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7E120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7E1201">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7E1201">
                                                  <w:tc>
                                                    <w:tcPr>
                                                      <w:tcW w:w="0" w:type="auto"/>
                                                      <w:vAlign w:val="center"/>
                                                      <w:hideMark/>
                                                    </w:tcPr>
                                                    <w:p w:rsidR="007E1201" w:rsidRDefault="007E1201">
                                                      <w:pPr>
                                                        <w:pStyle w:val="NormalWeb"/>
                                                        <w:spacing w:before="0" w:beforeAutospacing="0" w:after="0" w:afterAutospacing="0" w:line="390" w:lineRule="exact"/>
                                                        <w:jc w:val="center"/>
                                                        <w:rPr>
                                                          <w:rFonts w:ascii="Arial" w:hAnsi="Arial" w:cs="Arial"/>
                                                          <w:color w:val="393939"/>
                                                          <w:sz w:val="26"/>
                                                          <w:szCs w:val="26"/>
                                                          <w:lang w:eastAsia="en-US"/>
                                                        </w:rPr>
                                                      </w:pPr>
                                                      <w:r>
                                                        <w:rPr>
                                                          <w:rStyle w:val="lev"/>
                                                          <w:rFonts w:ascii="Arial" w:hAnsi="Arial" w:cs="Arial"/>
                                                          <w:color w:val="000000"/>
                                                          <w:lang w:eastAsia="en-US"/>
                                                        </w:rPr>
                                                        <w:t>COMMUNIQUE DE PRESSE</w:t>
                                                      </w:r>
                                                    </w:p>
                                                  </w:tc>
                                                </w:tr>
                                              </w:tbl>
                                              <w:tbl>
                                                <w:tblPr>
                                                  <w:tblW w:w="0" w:type="auto"/>
                                                  <w:jc w:val="center"/>
                                                  <w:tblCellMar>
                                                    <w:left w:w="0" w:type="dxa"/>
                                                    <w:right w:w="0" w:type="dxa"/>
                                                  </w:tblCellMar>
                                                  <w:tblLook w:val="04A0" w:firstRow="1" w:lastRow="0" w:firstColumn="1" w:lastColumn="0" w:noHBand="0" w:noVBand="1"/>
                                                </w:tblPr>
                                                <w:tblGrid>
                                                  <w:gridCol w:w="75"/>
                                                </w:tblGrid>
                                                <w:tr w:rsidR="007E1201">
                                                  <w:trPr>
                                                    <w:trHeight w:val="300"/>
                                                    <w:jc w:val="center"/>
                                                  </w:trPr>
                                                  <w:tc>
                                                    <w:tcPr>
                                                      <w:tcW w:w="0" w:type="auto"/>
                                                      <w:vAlign w:val="center"/>
                                                      <w:hideMark/>
                                                    </w:tcPr>
                                                    <w:p w:rsidR="007E1201" w:rsidRDefault="007E1201">
                                                      <w:pPr>
                                                        <w:spacing w:line="300" w:lineRule="exact"/>
                                                        <w:rPr>
                                                          <w:sz w:val="30"/>
                                                          <w:szCs w:val="30"/>
                                                          <w:lang w:eastAsia="en-US"/>
                                                        </w:rPr>
                                                      </w:pPr>
                                                      <w:r>
                                                        <w:rPr>
                                                          <w:sz w:val="30"/>
                                                          <w:szCs w:val="30"/>
                                                          <w:lang w:eastAsia="en-US"/>
                                                        </w:rPr>
                                                        <w:t xml:space="preserve">  </w:t>
                                                      </w:r>
                                                    </w:p>
                                                  </w:tc>
                                                </w:tr>
                                              </w:tbl>
                                              <w:p w:rsidR="007E1201" w:rsidRDefault="007E1201">
                                                <w:pPr>
                                                  <w:jc w:val="center"/>
                                                  <w:rPr>
                                                    <w:rFonts w:eastAsia="Times New Roman"/>
                                                    <w:sz w:val="20"/>
                                                    <w:szCs w:val="20"/>
                                                  </w:rPr>
                                                </w:pPr>
                                              </w:p>
                                            </w:tc>
                                          </w:tr>
                                        </w:tbl>
                                        <w:p w:rsidR="007E1201" w:rsidRDefault="007E1201">
                                          <w:pPr>
                                            <w:rPr>
                                              <w:rFonts w:eastAsia="Times New Roman"/>
                                              <w:sz w:val="20"/>
                                              <w:szCs w:val="20"/>
                                            </w:rPr>
                                          </w:pPr>
                                        </w:p>
                                      </w:tc>
                                    </w:tr>
                                  </w:tbl>
                                  <w:p w:rsidR="007E1201" w:rsidRDefault="007E1201">
                                    <w:pPr>
                                      <w:jc w:val="center"/>
                                      <w:rPr>
                                        <w:rFonts w:eastAsia="Times New Roman"/>
                                        <w:sz w:val="20"/>
                                        <w:szCs w:val="20"/>
                                      </w:rPr>
                                    </w:pPr>
                                  </w:p>
                                </w:tc>
                              </w:tr>
                            </w:tbl>
                            <w:p w:rsidR="007E1201" w:rsidRDefault="007E1201">
                              <w:pPr>
                                <w:jc w:val="center"/>
                                <w:rPr>
                                  <w:rFonts w:eastAsia="Times New Roman"/>
                                  <w:sz w:val="20"/>
                                  <w:szCs w:val="20"/>
                                </w:rPr>
                              </w:pPr>
                            </w:p>
                          </w:tc>
                          <w:tc>
                            <w:tcPr>
                              <w:tcW w:w="150" w:type="dxa"/>
                              <w:shd w:val="clear" w:color="auto" w:fill="FFFFFF"/>
                              <w:vAlign w:val="center"/>
                              <w:hideMark/>
                            </w:tcPr>
                            <w:p w:rsidR="007E1201" w:rsidRDefault="007E1201">
                              <w:pPr>
                                <w:rPr>
                                  <w:rFonts w:eastAsia="Times New Roman"/>
                                  <w:sz w:val="20"/>
                                  <w:szCs w:val="20"/>
                                </w:rPr>
                              </w:pPr>
                            </w:p>
                          </w:tc>
                        </w:tr>
                      </w:tbl>
                      <w:p w:rsidR="007E1201" w:rsidRDefault="007E1201">
                        <w:pPr>
                          <w:rPr>
                            <w:rFonts w:eastAsia="Times New Roman"/>
                            <w:sz w:val="20"/>
                            <w:szCs w:val="20"/>
                          </w:rPr>
                        </w:pPr>
                      </w:p>
                    </w:tc>
                  </w:tr>
                  <w:tr w:rsidR="007E1201">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7E1201">
                          <w:tc>
                            <w:tcPr>
                              <w:tcW w:w="150" w:type="dxa"/>
                              <w:shd w:val="clear" w:color="auto" w:fill="FFFFFF"/>
                              <w:vAlign w:val="center"/>
                              <w:hideMark/>
                            </w:tcPr>
                            <w:p w:rsidR="007E1201" w:rsidRDefault="007E1201">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7E1201">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7E120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7E1201">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7E1201">
                                                  <w:tc>
                                                    <w:tcPr>
                                                      <w:tcW w:w="0" w:type="auto"/>
                                                      <w:vAlign w:val="center"/>
                                                      <w:hideMark/>
                                                    </w:tcPr>
                                                    <w:p w:rsidR="007E1201" w:rsidRDefault="007E1201">
                                                      <w:pPr>
                                                        <w:pStyle w:val="NormalWeb"/>
                                                        <w:spacing w:before="0" w:beforeAutospacing="0" w:after="0" w:afterAutospacing="0" w:line="390" w:lineRule="exact"/>
                                                        <w:jc w:val="right"/>
                                                        <w:rPr>
                                                          <w:rFonts w:ascii="Arial" w:hAnsi="Arial" w:cs="Arial"/>
                                                          <w:color w:val="393939"/>
                                                          <w:sz w:val="26"/>
                                                          <w:szCs w:val="26"/>
                                                          <w:lang w:eastAsia="en-US"/>
                                                        </w:rPr>
                                                      </w:pPr>
                                                      <w:r>
                                                        <w:rPr>
                                                          <w:rFonts w:ascii="Arial" w:hAnsi="Arial" w:cs="Arial"/>
                                                          <w:color w:val="000000"/>
                                                          <w:sz w:val="18"/>
                                                          <w:szCs w:val="18"/>
                                                          <w:lang w:eastAsia="en-US"/>
                                                        </w:rPr>
                                                        <w:t>Paris, le 16 février 2021</w:t>
                                                      </w:r>
                                                    </w:p>
                                                  </w:tc>
                                                </w:tr>
                                              </w:tbl>
                                              <w:p w:rsidR="007E1201" w:rsidRDefault="007E1201">
                                                <w:pPr>
                                                  <w:rPr>
                                                    <w:rFonts w:eastAsia="Times New Roman"/>
                                                    <w:sz w:val="20"/>
                                                    <w:szCs w:val="20"/>
                                                  </w:rPr>
                                                </w:pPr>
                                              </w:p>
                                            </w:tc>
                                          </w:tr>
                                        </w:tbl>
                                        <w:p w:rsidR="007E1201" w:rsidRDefault="007E1201">
                                          <w:pPr>
                                            <w:rPr>
                                              <w:rFonts w:eastAsia="Times New Roman"/>
                                              <w:sz w:val="20"/>
                                              <w:szCs w:val="20"/>
                                            </w:rPr>
                                          </w:pPr>
                                        </w:p>
                                      </w:tc>
                                    </w:tr>
                                  </w:tbl>
                                  <w:p w:rsidR="007E1201" w:rsidRDefault="007E1201">
                                    <w:pPr>
                                      <w:jc w:val="center"/>
                                      <w:rPr>
                                        <w:rFonts w:eastAsia="Times New Roman"/>
                                        <w:sz w:val="20"/>
                                        <w:szCs w:val="20"/>
                                      </w:rPr>
                                    </w:pPr>
                                  </w:p>
                                </w:tc>
                              </w:tr>
                            </w:tbl>
                            <w:p w:rsidR="007E1201" w:rsidRDefault="007E1201">
                              <w:pPr>
                                <w:jc w:val="center"/>
                                <w:rPr>
                                  <w:rFonts w:eastAsia="Times New Roman"/>
                                  <w:sz w:val="20"/>
                                  <w:szCs w:val="20"/>
                                </w:rPr>
                              </w:pPr>
                            </w:p>
                          </w:tc>
                          <w:tc>
                            <w:tcPr>
                              <w:tcW w:w="150" w:type="dxa"/>
                              <w:shd w:val="clear" w:color="auto" w:fill="FFFFFF"/>
                              <w:vAlign w:val="center"/>
                              <w:hideMark/>
                            </w:tcPr>
                            <w:p w:rsidR="007E1201" w:rsidRDefault="007E1201">
                              <w:pPr>
                                <w:rPr>
                                  <w:rFonts w:eastAsia="Times New Roman"/>
                                  <w:sz w:val="20"/>
                                  <w:szCs w:val="20"/>
                                </w:rPr>
                              </w:pPr>
                            </w:p>
                          </w:tc>
                        </w:tr>
                      </w:tbl>
                      <w:p w:rsidR="007E1201" w:rsidRDefault="007E1201">
                        <w:pPr>
                          <w:rPr>
                            <w:rFonts w:eastAsia="Times New Roman"/>
                            <w:sz w:val="20"/>
                            <w:szCs w:val="20"/>
                          </w:rPr>
                        </w:pPr>
                      </w:p>
                    </w:tc>
                  </w:tr>
                  <w:tr w:rsidR="007E1201">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954"/>
                          <w:gridCol w:w="150"/>
                        </w:tblGrid>
                        <w:tr w:rsidR="007E1201">
                          <w:tc>
                            <w:tcPr>
                              <w:tcW w:w="150" w:type="dxa"/>
                              <w:shd w:val="clear" w:color="auto" w:fill="FFFFFF"/>
                              <w:vAlign w:val="center"/>
                              <w:hideMark/>
                            </w:tcPr>
                            <w:p w:rsidR="007E1201" w:rsidRDefault="007E1201">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954"/>
                              </w:tblGrid>
                              <w:tr w:rsidR="007E1201">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279"/>
                                      <w:gridCol w:w="675"/>
                                    </w:tblGrid>
                                    <w:tr w:rsidR="007E1201">
                                      <w:trPr>
                                        <w:jc w:val="center"/>
                                      </w:trPr>
                                      <w:tc>
                                        <w:tcPr>
                                          <w:tcW w:w="3050" w:type="pct"/>
                                          <w:hideMark/>
                                        </w:tcPr>
                                        <w:tbl>
                                          <w:tblPr>
                                            <w:tblW w:w="9279" w:type="dxa"/>
                                            <w:tblCellMar>
                                              <w:left w:w="0" w:type="dxa"/>
                                              <w:right w:w="0" w:type="dxa"/>
                                            </w:tblCellMar>
                                            <w:tblLook w:val="04A0" w:firstRow="1" w:lastRow="0" w:firstColumn="1" w:lastColumn="0" w:noHBand="0" w:noVBand="1"/>
                                          </w:tblPr>
                                          <w:tblGrid>
                                            <w:gridCol w:w="9279"/>
                                          </w:tblGrid>
                                          <w:tr w:rsidR="007E1201">
                                            <w:tc>
                                              <w:tcPr>
                                                <w:tcW w:w="5000" w:type="pct"/>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679"/>
                                                </w:tblGrid>
                                                <w:tr w:rsidR="007E1201">
                                                  <w:tc>
                                                    <w:tcPr>
                                                      <w:tcW w:w="0" w:type="auto"/>
                                                      <w:vAlign w:val="center"/>
                                                      <w:hideMark/>
                                                    </w:tcPr>
                                                    <w:p w:rsidR="007E1201" w:rsidRDefault="007E1201">
                                                      <w:pPr>
                                                        <w:spacing w:line="252" w:lineRule="auto"/>
                                                        <w:jc w:val="both"/>
                                                        <w:rPr>
                                                          <w:b/>
                                                          <w:bCs/>
                                                          <w:lang w:eastAsia="en-US"/>
                                                        </w:rPr>
                                                      </w:pPr>
                                                      <w:r>
                                                        <w:rPr>
                                                          <w:rStyle w:val="lev"/>
                                                          <w:rFonts w:ascii="Arial" w:hAnsi="Arial" w:cs="Arial"/>
                                                          <w:color w:val="393939"/>
                                                          <w:lang w:eastAsia="en-US"/>
                                                        </w:rPr>
                                                        <w:t>Garantie jeunes : assouplissement des conditions d’entrée dans le dispositif et augmentation des crédits des missions locales</w:t>
                                                      </w:r>
                                                    </w:p>
                                                  </w:tc>
                                                </w:tr>
                                              </w:tbl>
                                              <w:p w:rsidR="007E1201" w:rsidRDefault="007E1201">
                                                <w:pPr>
                                                  <w:rPr>
                                                    <w:rFonts w:eastAsia="Times New Roman"/>
                                                    <w:sz w:val="20"/>
                                                    <w:szCs w:val="20"/>
                                                  </w:rPr>
                                                </w:pPr>
                                              </w:p>
                                            </w:tc>
                                          </w:tr>
                                        </w:tbl>
                                        <w:p w:rsidR="007E1201" w:rsidRDefault="007E1201">
                                          <w:pPr>
                                            <w:rPr>
                                              <w:rFonts w:eastAsia="Times New Roman"/>
                                              <w:sz w:val="20"/>
                                              <w:szCs w:val="20"/>
                                            </w:rPr>
                                          </w:pPr>
                                        </w:p>
                                      </w:tc>
                                      <w:tc>
                                        <w:tcPr>
                                          <w:tcW w:w="1900" w:type="pct"/>
                                          <w:hideMark/>
                                        </w:tcPr>
                                        <w:tbl>
                                          <w:tblPr>
                                            <w:tblW w:w="5000" w:type="pct"/>
                                            <w:tblCellMar>
                                              <w:left w:w="0" w:type="dxa"/>
                                              <w:right w:w="0" w:type="dxa"/>
                                            </w:tblCellMar>
                                            <w:tblLook w:val="04A0" w:firstRow="1" w:lastRow="0" w:firstColumn="1" w:lastColumn="0" w:noHBand="0" w:noVBand="1"/>
                                          </w:tblPr>
                                          <w:tblGrid>
                                            <w:gridCol w:w="675"/>
                                          </w:tblGrid>
                                          <w:tr w:rsidR="007E1201">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7E1201">
                                                  <w:trPr>
                                                    <w:trHeight w:val="300"/>
                                                    <w:jc w:val="center"/>
                                                  </w:trPr>
                                                  <w:tc>
                                                    <w:tcPr>
                                                      <w:tcW w:w="0" w:type="auto"/>
                                                      <w:vAlign w:val="center"/>
                                                      <w:hideMark/>
                                                    </w:tcPr>
                                                    <w:p w:rsidR="007E1201" w:rsidRDefault="007E1201">
                                                      <w:pPr>
                                                        <w:spacing w:line="300" w:lineRule="exact"/>
                                                        <w:rPr>
                                                          <w:sz w:val="30"/>
                                                          <w:szCs w:val="30"/>
                                                          <w:lang w:eastAsia="en-US"/>
                                                        </w:rPr>
                                                      </w:pPr>
                                                      <w:r>
                                                        <w:rPr>
                                                          <w:sz w:val="30"/>
                                                          <w:szCs w:val="30"/>
                                                          <w:lang w:eastAsia="en-US"/>
                                                        </w:rPr>
                                                        <w:t xml:space="preserve">  </w:t>
                                                      </w:r>
                                                    </w:p>
                                                  </w:tc>
                                                </w:tr>
                                              </w:tbl>
                                              <w:p w:rsidR="007E1201" w:rsidRDefault="007E1201">
                                                <w:pPr>
                                                  <w:jc w:val="center"/>
                                                  <w:rPr>
                                                    <w:rFonts w:eastAsia="Times New Roman"/>
                                                    <w:sz w:val="20"/>
                                                    <w:szCs w:val="20"/>
                                                  </w:rPr>
                                                </w:pPr>
                                              </w:p>
                                            </w:tc>
                                          </w:tr>
                                        </w:tbl>
                                        <w:p w:rsidR="007E1201" w:rsidRDefault="007E1201">
                                          <w:pPr>
                                            <w:rPr>
                                              <w:rFonts w:eastAsia="Times New Roman"/>
                                              <w:sz w:val="20"/>
                                              <w:szCs w:val="20"/>
                                            </w:rPr>
                                          </w:pPr>
                                        </w:p>
                                      </w:tc>
                                    </w:tr>
                                  </w:tbl>
                                  <w:p w:rsidR="007E1201" w:rsidRDefault="007E1201">
                                    <w:pPr>
                                      <w:jc w:val="center"/>
                                      <w:rPr>
                                        <w:rFonts w:eastAsia="Times New Roman"/>
                                        <w:sz w:val="20"/>
                                        <w:szCs w:val="20"/>
                                      </w:rPr>
                                    </w:pPr>
                                  </w:p>
                                </w:tc>
                              </w:tr>
                            </w:tbl>
                            <w:p w:rsidR="007E1201" w:rsidRDefault="007E1201">
                              <w:pPr>
                                <w:jc w:val="center"/>
                                <w:rPr>
                                  <w:rFonts w:eastAsia="Times New Roman"/>
                                  <w:sz w:val="20"/>
                                  <w:szCs w:val="20"/>
                                </w:rPr>
                              </w:pPr>
                            </w:p>
                          </w:tc>
                          <w:tc>
                            <w:tcPr>
                              <w:tcW w:w="150" w:type="dxa"/>
                              <w:shd w:val="clear" w:color="auto" w:fill="FFFFFF"/>
                              <w:vAlign w:val="center"/>
                              <w:hideMark/>
                            </w:tcPr>
                            <w:p w:rsidR="007E1201" w:rsidRDefault="007E1201">
                              <w:pPr>
                                <w:rPr>
                                  <w:rFonts w:eastAsia="Times New Roman"/>
                                  <w:sz w:val="20"/>
                                  <w:szCs w:val="20"/>
                                </w:rPr>
                              </w:pPr>
                            </w:p>
                          </w:tc>
                        </w:tr>
                      </w:tbl>
                      <w:p w:rsidR="007E1201" w:rsidRDefault="007E1201">
                        <w:pPr>
                          <w:rPr>
                            <w:rFonts w:eastAsia="Times New Roman"/>
                            <w:sz w:val="20"/>
                            <w:szCs w:val="20"/>
                          </w:rPr>
                        </w:pPr>
                      </w:p>
                    </w:tc>
                  </w:tr>
                  <w:tr w:rsidR="007E1201">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7E1201">
                          <w:tc>
                            <w:tcPr>
                              <w:tcW w:w="150" w:type="dxa"/>
                              <w:shd w:val="clear" w:color="auto" w:fill="FFFFFF"/>
                              <w:vAlign w:val="center"/>
                              <w:hideMark/>
                            </w:tcPr>
                            <w:p w:rsidR="007E1201" w:rsidRDefault="007E1201">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7E1201">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7E120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7E1201">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7E1201">
                                                  <w:tc>
                                                    <w:tcPr>
                                                      <w:tcW w:w="0" w:type="auto"/>
                                                      <w:vAlign w:val="center"/>
                                                    </w:tcPr>
                                                    <w:p w:rsidR="007E1201" w:rsidRDefault="007E1201">
                                                      <w:pPr>
                                                        <w:spacing w:line="252" w:lineRule="auto"/>
                                                        <w:jc w:val="both"/>
                                                        <w:rPr>
                                                          <w:rFonts w:ascii="Arial" w:hAnsi="Arial" w:cs="Arial"/>
                                                          <w:b/>
                                                          <w:bCs/>
                                                          <w:sz w:val="21"/>
                                                          <w:szCs w:val="21"/>
                                                          <w:lang w:eastAsia="en-US"/>
                                                        </w:rPr>
                                                      </w:pPr>
                                                      <w:r>
                                                        <w:rPr>
                                                          <w:rFonts w:ascii="Arial" w:hAnsi="Arial" w:cs="Arial"/>
                                                          <w:b/>
                                                          <w:bCs/>
                                                          <w:sz w:val="21"/>
                                                          <w:szCs w:val="21"/>
                                                          <w:lang w:eastAsia="en-US"/>
                                                        </w:rPr>
                                                        <w:t>Elisabeth Borne, ministre du Travail, de l’Emploi et de l’Insertion a réuni ce lundi les membres de l’Union nationale des Missions Locales (UNML) et les représentants des 440 missions locales en visioconférence pour leur confirmer l’augmentation des crédits alloués aux organismes en 2021 afin d’accompagner le déploiement des 200 000 Garantie jeunes prévues dans le plan « 1 jeune, 1 solution ». Elle leur a également annoncé l’assouplissement des conditions d’entrée en Garantie jeunes et des modalités de mise en œuvre par les conseillers des missions locales.</w:t>
                                                      </w:r>
                                                    </w:p>
                                                    <w:p w:rsidR="007E1201" w:rsidRDefault="007E1201">
                                                      <w:pPr>
                                                        <w:spacing w:line="252" w:lineRule="auto"/>
                                                        <w:jc w:val="both"/>
                                                        <w:rPr>
                                                          <w:rFonts w:ascii="Arial" w:hAnsi="Arial" w:cs="Arial"/>
                                                          <w:b/>
                                                          <w:bCs/>
                                                          <w:sz w:val="21"/>
                                                          <w:szCs w:val="21"/>
                                                          <w:lang w:eastAsia="en-US"/>
                                                        </w:rPr>
                                                      </w:pPr>
                                                    </w:p>
                                                    <w:p w:rsidR="007E1201" w:rsidRDefault="007E1201">
                                                      <w:pPr>
                                                        <w:spacing w:line="252" w:lineRule="auto"/>
                                                        <w:jc w:val="both"/>
                                                        <w:rPr>
                                                          <w:rFonts w:ascii="Arial" w:hAnsi="Arial" w:cs="Arial"/>
                                                          <w:color w:val="000000"/>
                                                          <w:sz w:val="21"/>
                                                          <w:szCs w:val="21"/>
                                                          <w:lang w:eastAsia="en-US"/>
                                                        </w:rPr>
                                                      </w:pPr>
                                                      <w:r>
                                                        <w:rPr>
                                                          <w:rFonts w:ascii="Arial" w:hAnsi="Arial" w:cs="Arial"/>
                                                          <w:sz w:val="21"/>
                                                          <w:szCs w:val="21"/>
                                                          <w:lang w:eastAsia="en-US"/>
                                                        </w:rPr>
                                                        <w:t>En 2020, plus de 600 000 jeunes ont rejoint un parcours d’insertion vers l’emploi du pla</w:t>
                                                      </w:r>
                                                      <w:r>
                                                        <w:rPr>
                                                          <w:rFonts w:ascii="Arial" w:hAnsi="Arial" w:cs="Arial"/>
                                                          <w:color w:val="000000"/>
                                                          <w:sz w:val="21"/>
                                                          <w:szCs w:val="21"/>
                                                          <w:lang w:eastAsia="en-US"/>
                                                        </w:rPr>
                                                        <w:t xml:space="preserve">n </w:t>
                                                      </w:r>
                                                      <w:r>
                                                        <w:rPr>
                                                          <w:rFonts w:ascii="Arial" w:hAnsi="Arial" w:cs="Arial"/>
                                                          <w:sz w:val="21"/>
                                                          <w:szCs w:val="21"/>
                                                          <w:lang w:eastAsia="en-US"/>
                                                        </w:rPr>
                                                        <w:t>« 1 jeune, 1 solution ». En 2021, le Gouvernement prévoit près d’1 million de solutions d’insertion aux jeunes les plus éloignés de l’emploi, parmi lesquelles 200 000 places en Garantie jeunes, doublant ainsi le nombre d’entrées disponibles pour les jeunes.</w:t>
                                                      </w:r>
                                                    </w:p>
                                                    <w:p w:rsidR="007E1201" w:rsidRDefault="007E1201">
                                                      <w:pPr>
                                                        <w:spacing w:line="252" w:lineRule="auto"/>
                                                        <w:jc w:val="both"/>
                                                        <w:rPr>
                                                          <w:rFonts w:ascii="Arial" w:hAnsi="Arial" w:cs="Arial"/>
                                                          <w:sz w:val="21"/>
                                                          <w:szCs w:val="21"/>
                                                          <w:lang w:eastAsia="en-US"/>
                                                        </w:rPr>
                                                      </w:pPr>
                                                    </w:p>
                                                    <w:p w:rsidR="007E1201" w:rsidRDefault="007E1201">
                                                      <w:pPr>
                                                        <w:spacing w:line="252" w:lineRule="auto"/>
                                                        <w:jc w:val="both"/>
                                                        <w:rPr>
                                                          <w:rFonts w:ascii="Arial" w:hAnsi="Arial" w:cs="Arial"/>
                                                          <w:sz w:val="21"/>
                                                          <w:szCs w:val="21"/>
                                                          <w:lang w:eastAsia="en-US"/>
                                                        </w:rPr>
                                                      </w:pPr>
                                                      <w:r>
                                                        <w:rPr>
                                                          <w:rFonts w:ascii="Arial" w:hAnsi="Arial" w:cs="Arial"/>
                                                          <w:sz w:val="21"/>
                                                          <w:szCs w:val="21"/>
                                                          <w:lang w:eastAsia="en-US"/>
                                                        </w:rPr>
                                                        <w:t>Pour atteindre ces objectifs, les missions locales seront dotées de crédits d’une ampleur inédite. 140 millions d’euros supplémentaires leur seront ainsi allouées en 2021, pour un budget total de 495 millions d’euros. 455 millions d’euros seront versés dès le mois de février, afin de permettre aux missions locales de déployer rapidement l’ensemble des dispositifs et de recruter le personnel nécessaire à cet effet. Par ailleurs, conformément à la demande des missions locales et compte tenu de la crise sanitaire, les indicateurs de performance relatifs à 2020 ne seront pas pris en compte dans le versement des moyens de fonctionnement pour 2021.</w:t>
                                                      </w:r>
                                                    </w:p>
                                                    <w:p w:rsidR="007E1201" w:rsidRDefault="007E1201">
                                                      <w:pPr>
                                                        <w:spacing w:line="252" w:lineRule="auto"/>
                                                        <w:jc w:val="both"/>
                                                        <w:rPr>
                                                          <w:rFonts w:ascii="Arial" w:hAnsi="Arial" w:cs="Arial"/>
                                                          <w:sz w:val="21"/>
                                                          <w:szCs w:val="21"/>
                                                          <w:lang w:eastAsia="en-US"/>
                                                        </w:rPr>
                                                      </w:pPr>
                                                    </w:p>
                                                    <w:p w:rsidR="007E1201" w:rsidRDefault="007E1201">
                                                      <w:pPr>
                                                        <w:spacing w:line="252" w:lineRule="auto"/>
                                                        <w:jc w:val="both"/>
                                                        <w:rPr>
                                                          <w:rFonts w:ascii="Arial" w:hAnsi="Arial" w:cs="Arial"/>
                                                          <w:sz w:val="21"/>
                                                          <w:szCs w:val="21"/>
                                                          <w:lang w:eastAsia="en-US"/>
                                                        </w:rPr>
                                                      </w:pPr>
                                                      <w:r>
                                                        <w:rPr>
                                                          <w:rFonts w:ascii="Arial" w:hAnsi="Arial" w:cs="Arial"/>
                                                          <w:sz w:val="21"/>
                                                          <w:szCs w:val="21"/>
                                                          <w:lang w:eastAsia="en-US"/>
                                                        </w:rPr>
                                                        <w:t xml:space="preserve">Pour faciliter le déploiement des 200 000 places en Garantie jeunes, Elisabeth Borne a également annoncé des évolutions liées aux conditions d’entrée et aux modalités de mise en œuvre de ces parcours. </w:t>
                                                      </w:r>
                                                    </w:p>
                                                    <w:p w:rsidR="007E1201" w:rsidRDefault="007E1201">
                                                      <w:pPr>
                                                        <w:spacing w:line="252" w:lineRule="auto"/>
                                                        <w:jc w:val="both"/>
                                                        <w:rPr>
                                                          <w:rFonts w:ascii="Arial" w:hAnsi="Arial" w:cs="Arial"/>
                                                          <w:sz w:val="21"/>
                                                          <w:szCs w:val="21"/>
                                                          <w:lang w:eastAsia="en-US"/>
                                                        </w:rPr>
                                                      </w:pPr>
                                                    </w:p>
                                                    <w:p w:rsidR="007E1201" w:rsidRDefault="007E1201">
                                                      <w:pPr>
                                                        <w:spacing w:line="252" w:lineRule="auto"/>
                                                        <w:jc w:val="both"/>
                                                        <w:rPr>
                                                          <w:rFonts w:ascii="Arial" w:hAnsi="Arial" w:cs="Arial"/>
                                                          <w:sz w:val="21"/>
                                                          <w:szCs w:val="21"/>
                                                          <w:lang w:eastAsia="en-US"/>
                                                        </w:rPr>
                                                      </w:pPr>
                                                      <w:r>
                                                        <w:rPr>
                                                          <w:rFonts w:ascii="Arial" w:hAnsi="Arial" w:cs="Arial"/>
                                                          <w:sz w:val="21"/>
                                                          <w:szCs w:val="21"/>
                                                          <w:lang w:eastAsia="en-US"/>
                                                        </w:rPr>
                                                        <w:t>Ces assouplissements porteront sur les critères de non-imposition, de ressources et de durée des parcours. Ainsi :</w:t>
                                                      </w:r>
                                                    </w:p>
                                                    <w:p w:rsidR="007E1201" w:rsidRDefault="007E1201" w:rsidP="007E1201">
                                                      <w:pPr>
                                                        <w:pStyle w:val="Paragraphedeliste"/>
                                                        <w:numPr>
                                                          <w:ilvl w:val="0"/>
                                                          <w:numId w:val="3"/>
                                                        </w:numPr>
                                                        <w:spacing w:line="252" w:lineRule="auto"/>
                                                        <w:jc w:val="both"/>
                                                        <w:rPr>
                                                          <w:rFonts w:ascii="Arial" w:hAnsi="Arial" w:cs="Arial"/>
                                                          <w:sz w:val="21"/>
                                                          <w:szCs w:val="21"/>
                                                        </w:rPr>
                                                      </w:pPr>
                                                      <w:r>
                                                        <w:rPr>
                                                          <w:rFonts w:ascii="Arial" w:hAnsi="Arial" w:cs="Arial"/>
                                                          <w:sz w:val="21"/>
                                                          <w:szCs w:val="21"/>
                                                        </w:rPr>
                                                        <w:t>Un jeune n’aura plus nécessairement besoin de se déclarer fiscalement autonome pour bénéficier de la Garantie jeunes. Le conseiller de la mission locale pourra, à titre exceptionnel, attester lui-même de sa situation de précarité et de rupture vis-à-vis de sa famille.</w:t>
                                                      </w:r>
                                                    </w:p>
                                                    <w:p w:rsidR="007E1201" w:rsidRDefault="007E1201">
                                                      <w:pPr>
                                                        <w:pStyle w:val="Paragraphedeliste"/>
                                                        <w:jc w:val="both"/>
                                                        <w:rPr>
                                                          <w:rFonts w:ascii="Arial" w:hAnsi="Arial" w:cs="Arial"/>
                                                          <w:sz w:val="21"/>
                                                          <w:szCs w:val="21"/>
                                                        </w:rPr>
                                                      </w:pPr>
                                                    </w:p>
                                                    <w:p w:rsidR="007E1201" w:rsidRDefault="007E1201" w:rsidP="007E1201">
                                                      <w:pPr>
                                                        <w:pStyle w:val="Paragraphedeliste"/>
                                                        <w:numPr>
                                                          <w:ilvl w:val="0"/>
                                                          <w:numId w:val="3"/>
                                                        </w:numPr>
                                                        <w:spacing w:line="252" w:lineRule="auto"/>
                                                        <w:jc w:val="both"/>
                                                        <w:rPr>
                                                          <w:rFonts w:ascii="Arial" w:hAnsi="Arial" w:cs="Arial"/>
                                                          <w:sz w:val="21"/>
                                                          <w:szCs w:val="21"/>
                                                        </w:rPr>
                                                      </w:pPr>
                                                      <w:r>
                                                        <w:rPr>
                                                          <w:rFonts w:ascii="Arial" w:hAnsi="Arial" w:cs="Arial"/>
                                                          <w:sz w:val="21"/>
                                                          <w:szCs w:val="21"/>
                                                        </w:rPr>
                                                        <w:lastRenderedPageBreak/>
                                                        <w:t>Le plafond de ressources pourra également être évalué sur les trois ou les six derniers mois, selon l’appréciation la plus favorable pour chaque jeune, permettant ainsi de prendre en compte des parcours plus variés, avant l’entrée en accompagnement.</w:t>
                                                      </w:r>
                                                    </w:p>
                                                    <w:p w:rsidR="007E1201" w:rsidRDefault="007E1201">
                                                      <w:pPr>
                                                        <w:pStyle w:val="Paragraphedeliste"/>
                                                        <w:rPr>
                                                          <w:rFonts w:ascii="Arial" w:hAnsi="Arial" w:cs="Arial"/>
                                                          <w:sz w:val="21"/>
                                                          <w:szCs w:val="21"/>
                                                        </w:rPr>
                                                      </w:pPr>
                                                    </w:p>
                                                    <w:p w:rsidR="007E1201" w:rsidRDefault="007E1201" w:rsidP="007E1201">
                                                      <w:pPr>
                                                        <w:pStyle w:val="Paragraphedeliste"/>
                                                        <w:numPr>
                                                          <w:ilvl w:val="0"/>
                                                          <w:numId w:val="3"/>
                                                        </w:numPr>
                                                        <w:spacing w:line="252" w:lineRule="auto"/>
                                                        <w:jc w:val="both"/>
                                                        <w:rPr>
                                                          <w:rFonts w:ascii="Arial" w:hAnsi="Arial" w:cs="Arial"/>
                                                          <w:sz w:val="21"/>
                                                          <w:szCs w:val="21"/>
                                                        </w:rPr>
                                                      </w:pPr>
                                                      <w:r>
                                                        <w:rPr>
                                                          <w:rFonts w:ascii="Arial" w:hAnsi="Arial" w:cs="Arial"/>
                                                          <w:sz w:val="21"/>
                                                          <w:szCs w:val="21"/>
                                                        </w:rPr>
                                                        <w:t>Enfin, la durée de ce parcours sera désormais modulable, en fonction de la situation de chaque jeune, et pourra aller de 9 à 18 mois, afin de s’adapter au plus près des besoins d’accompagnement.</w:t>
                                                      </w:r>
                                                    </w:p>
                                                    <w:p w:rsidR="007E1201" w:rsidRDefault="007E1201">
                                                      <w:pPr>
                                                        <w:spacing w:line="252" w:lineRule="auto"/>
                                                        <w:jc w:val="both"/>
                                                        <w:rPr>
                                                          <w:rFonts w:ascii="Arial" w:hAnsi="Arial" w:cs="Arial"/>
                                                          <w:sz w:val="21"/>
                                                          <w:szCs w:val="21"/>
                                                          <w:lang w:eastAsia="en-US"/>
                                                        </w:rPr>
                                                      </w:pPr>
                                                      <w:r>
                                                        <w:rPr>
                                                          <w:rFonts w:ascii="Arial" w:hAnsi="Arial" w:cs="Arial"/>
                                                          <w:sz w:val="21"/>
                                                          <w:szCs w:val="21"/>
                                                          <w:lang w:eastAsia="en-US"/>
                                                        </w:rPr>
                                                        <w:t xml:space="preserve">En outre, la Garantie jeunes sera désormais ouverte aux jeunes en situation de handicap, jusqu’à l’âge de 30 ans. </w:t>
                                                      </w:r>
                                                    </w:p>
                                                    <w:p w:rsidR="007E1201" w:rsidRDefault="007E1201">
                                                      <w:pPr>
                                                        <w:spacing w:line="252" w:lineRule="auto"/>
                                                        <w:jc w:val="both"/>
                                                        <w:rPr>
                                                          <w:rFonts w:ascii="Arial" w:hAnsi="Arial" w:cs="Arial"/>
                                                          <w:strike/>
                                                          <w:sz w:val="21"/>
                                                          <w:szCs w:val="21"/>
                                                          <w:lang w:eastAsia="en-US"/>
                                                        </w:rPr>
                                                      </w:pPr>
                                                    </w:p>
                                                    <w:p w:rsidR="007E1201" w:rsidRDefault="007E1201">
                                                      <w:pPr>
                                                        <w:spacing w:line="252" w:lineRule="auto"/>
                                                        <w:jc w:val="both"/>
                                                        <w:rPr>
                                                          <w:rFonts w:ascii="Arial" w:hAnsi="Arial" w:cs="Arial"/>
                                                          <w:sz w:val="21"/>
                                                          <w:szCs w:val="21"/>
                                                          <w:lang w:eastAsia="en-US"/>
                                                        </w:rPr>
                                                      </w:pPr>
                                                      <w:r>
                                                        <w:rPr>
                                                          <w:rFonts w:ascii="Arial" w:hAnsi="Arial" w:cs="Arial"/>
                                                          <w:sz w:val="21"/>
                                                          <w:szCs w:val="21"/>
                                                          <w:lang w:eastAsia="en-US"/>
                                                        </w:rPr>
                                                        <w:t>La ministre a également rappelé que, sur le modèle de la Garantie jeunes, le principe d’une rémunération associée à un parcours vers l’emploi a été étendu aux jeunes accompagnés par Pôle emploi et l’Association pour l’emploi des cadres (APEC) ainsi qu’aux jeunes engagés dans un parcours d’accompagnement pour entrer en formation, comme les prépa-apprentissage. L’ensemble de ces jeunes peuvent désormais bénéficier d’un accompagnement vers l’emploi et d’une rémunération pouvant aller jusqu’à 500 euros par mois, en fonction de leurs besoins.</w:t>
                                                      </w:r>
                                                    </w:p>
                                                    <w:p w:rsidR="007E1201" w:rsidRDefault="007E1201">
                                                      <w:pPr>
                                                        <w:spacing w:line="252" w:lineRule="auto"/>
                                                        <w:jc w:val="both"/>
                                                        <w:rPr>
                                                          <w:rFonts w:ascii="Arial" w:hAnsi="Arial" w:cs="Arial"/>
                                                          <w:sz w:val="21"/>
                                                          <w:szCs w:val="21"/>
                                                          <w:lang w:eastAsia="en-US"/>
                                                        </w:rPr>
                                                      </w:pPr>
                                                    </w:p>
                                                    <w:p w:rsidR="007E1201" w:rsidRDefault="007E1201">
                                                      <w:pPr>
                                                        <w:spacing w:line="252" w:lineRule="auto"/>
                                                        <w:jc w:val="both"/>
                                                        <w:rPr>
                                                          <w:rFonts w:ascii="Arial" w:hAnsi="Arial" w:cs="Arial"/>
                                                          <w:sz w:val="21"/>
                                                          <w:szCs w:val="21"/>
                                                          <w:lang w:eastAsia="en-US"/>
                                                        </w:rPr>
                                                      </w:pPr>
                                                      <w:r>
                                                        <w:rPr>
                                                          <w:rFonts w:ascii="Arial" w:hAnsi="Arial" w:cs="Arial"/>
                                                          <w:sz w:val="21"/>
                                                          <w:szCs w:val="21"/>
                                                          <w:lang w:eastAsia="en-US"/>
                                                        </w:rPr>
                                                        <w:t xml:space="preserve">Il s’agit d’une première étape vers une « Garantie jeunes Universelle ». Pour en définir les contours, une équipe projet sera installée d’ici la fin du mois de février. En lien, notamment avec les missions locales, elle sera chargée de travailler à une nouvelle logique d’accompagnement des jeunes vers l’emploi, en prenant en considération les conclusions du rapport du Conseil d’orientation des politiques de jeunesse (COJ), sous la présidence d’Antoine DULIN, président de la Commission insertion du COJ.  </w:t>
                                                      </w:r>
                                                    </w:p>
                                                    <w:p w:rsidR="007E1201" w:rsidRDefault="007E1201">
                                                      <w:pPr>
                                                        <w:spacing w:line="252" w:lineRule="auto"/>
                                                        <w:jc w:val="both"/>
                                                        <w:rPr>
                                                          <w:rFonts w:ascii="Arial" w:hAnsi="Arial" w:cs="Arial"/>
                                                          <w:sz w:val="21"/>
                                                          <w:szCs w:val="21"/>
                                                          <w:lang w:eastAsia="en-US"/>
                                                        </w:rPr>
                                                      </w:pPr>
                                                    </w:p>
                                                    <w:p w:rsidR="007E1201" w:rsidRDefault="007E1201">
                                                      <w:pPr>
                                                        <w:spacing w:line="252" w:lineRule="auto"/>
                                                        <w:jc w:val="both"/>
                                                        <w:rPr>
                                                          <w:rFonts w:ascii="Arial" w:hAnsi="Arial" w:cs="Arial"/>
                                                          <w:b/>
                                                          <w:bCs/>
                                                          <w:sz w:val="21"/>
                                                          <w:szCs w:val="21"/>
                                                          <w:lang w:eastAsia="en-US"/>
                                                        </w:rPr>
                                                      </w:pPr>
                                                      <w:r>
                                                        <w:rPr>
                                                          <w:rFonts w:ascii="Arial" w:hAnsi="Arial" w:cs="Arial"/>
                                                          <w:sz w:val="21"/>
                                                          <w:szCs w:val="21"/>
                                                          <w:lang w:eastAsia="en-US"/>
                                                        </w:rPr>
                                                        <w:t>« </w:t>
                                                      </w:r>
                                                      <w:r>
                                                        <w:rPr>
                                                          <w:rFonts w:ascii="Arial" w:hAnsi="Arial" w:cs="Arial"/>
                                                          <w:i/>
                                                          <w:iCs/>
                                                          <w:sz w:val="21"/>
                                                          <w:szCs w:val="21"/>
                                                          <w:lang w:eastAsia="en-US"/>
                                                        </w:rPr>
                                                        <w:t>Depuis le début de la crise, les missions locales jouent un rôle essentiel pour accompagner les jeunes les plus en difficulté vers l’emploi. Leur rôle est déterminant dans le déploiement du pla</w:t>
                                                      </w:r>
                                                      <w:r>
                                                        <w:rPr>
                                                          <w:rFonts w:ascii="Arial" w:hAnsi="Arial" w:cs="Arial"/>
                                                          <w:i/>
                                                          <w:iCs/>
                                                          <w:color w:val="000000"/>
                                                          <w:sz w:val="21"/>
                                                          <w:szCs w:val="21"/>
                                                          <w:lang w:eastAsia="en-US"/>
                                                        </w:rPr>
                                                        <w:t>n </w:t>
                                                      </w:r>
                                                      <w:r>
                                                        <w:rPr>
                                                          <w:rFonts w:ascii="Arial" w:hAnsi="Arial" w:cs="Arial"/>
                                                          <w:i/>
                                                          <w:iCs/>
                                                          <w:sz w:val="21"/>
                                                          <w:szCs w:val="21"/>
                                                          <w:lang w:eastAsia="en-US"/>
                                                        </w:rPr>
                                                        <w:t>« 1 jeune, 1 solution » dans l’ensemble des territoires, au plus près des besoins des jeunes. Les moyens et solutions mis en place par l’État sont inédits. Aussi, pour accélérer leur mise en œuvre et permettre à un maximum de jeunes de pouvoir bénéficier de ces dispositifs d’insertion, j’ai souhaité que les moyens dont disposent les missions locales soient augmentés et que les conditions d’entrée en Garantie jeunes soient assouplies. Par ailleurs, les travaux concernant la création de la « Garantie jeunes Universelle » que nous appelons de nos vœux débuteront dans les prochains jours. A travers ce nouveau dispositif, nous voulons garantir à chaque jeune un droit à l’accompagnement inconditionnel jusqu’à ce qu’il accède à un emploi durable, en lui donnant les moyens de s’en sortir dans l’immédiat, mais aussi dans la durée, en leur permettant de se former, d’accéder à l’emploi. C’est un enjeu majeur en termes d’égalité des chances</w:t>
                                                      </w:r>
                                                      <w:r>
                                                        <w:rPr>
                                                          <w:rFonts w:ascii="Arial" w:hAnsi="Arial" w:cs="Arial"/>
                                                          <w:sz w:val="21"/>
                                                          <w:szCs w:val="21"/>
                                                          <w:lang w:eastAsia="en-US"/>
                                                        </w:rPr>
                                                        <w:t xml:space="preserve"> » déclare </w:t>
                                                      </w:r>
                                                      <w:r>
                                                        <w:rPr>
                                                          <w:rFonts w:ascii="Arial" w:hAnsi="Arial" w:cs="Arial"/>
                                                          <w:b/>
                                                          <w:bCs/>
                                                          <w:sz w:val="21"/>
                                                          <w:szCs w:val="21"/>
                                                          <w:lang w:eastAsia="en-US"/>
                                                        </w:rPr>
                                                        <w:t>Elisabeth Borne, ministre du Travail, de l’Emploi et de l’Insertion.</w:t>
                                                      </w:r>
                                                    </w:p>
                                                  </w:tc>
                                                </w:tr>
                                              </w:tbl>
                                              <w:tbl>
                                                <w:tblPr>
                                                  <w:tblW w:w="0" w:type="auto"/>
                                                  <w:jc w:val="center"/>
                                                  <w:tblCellMar>
                                                    <w:left w:w="0" w:type="dxa"/>
                                                    <w:right w:w="0" w:type="dxa"/>
                                                  </w:tblCellMar>
                                                  <w:tblLook w:val="04A0" w:firstRow="1" w:lastRow="0" w:firstColumn="1" w:lastColumn="0" w:noHBand="0" w:noVBand="1"/>
                                                </w:tblPr>
                                                <w:tblGrid>
                                                  <w:gridCol w:w="59"/>
                                                </w:tblGrid>
                                                <w:tr w:rsidR="007E1201">
                                                  <w:trPr>
                                                    <w:trHeight w:val="150"/>
                                                    <w:jc w:val="center"/>
                                                  </w:trPr>
                                                  <w:tc>
                                                    <w:tcPr>
                                                      <w:tcW w:w="0" w:type="auto"/>
                                                      <w:vAlign w:val="center"/>
                                                      <w:hideMark/>
                                                    </w:tcPr>
                                                    <w:p w:rsidR="007E1201" w:rsidRDefault="007E1201">
                                                      <w:pPr>
                                                        <w:spacing w:line="150" w:lineRule="exact"/>
                                                        <w:rPr>
                                                          <w:rFonts w:ascii="Arial" w:hAnsi="Arial" w:cs="Arial"/>
                                                          <w:sz w:val="21"/>
                                                          <w:szCs w:val="21"/>
                                                          <w:lang w:eastAsia="en-US"/>
                                                        </w:rPr>
                                                      </w:pPr>
                                                      <w:r>
                                                        <w:rPr>
                                                          <w:rFonts w:ascii="Arial" w:hAnsi="Arial" w:cs="Arial"/>
                                                          <w:sz w:val="21"/>
                                                          <w:szCs w:val="21"/>
                                                          <w:lang w:eastAsia="en-US"/>
                                                        </w:rPr>
                                                        <w:lastRenderedPageBreak/>
                                                        <w:t xml:space="preserve">  </w:t>
                                                      </w:r>
                                                    </w:p>
                                                  </w:tc>
                                                </w:tr>
                                              </w:tbl>
                                              <w:p w:rsidR="007E1201" w:rsidRDefault="007E1201">
                                                <w:pPr>
                                                  <w:jc w:val="center"/>
                                                  <w:rPr>
                                                    <w:rFonts w:eastAsia="Times New Roman"/>
                                                    <w:sz w:val="20"/>
                                                    <w:szCs w:val="20"/>
                                                  </w:rPr>
                                                </w:pPr>
                                              </w:p>
                                            </w:tc>
                                          </w:tr>
                                        </w:tbl>
                                        <w:p w:rsidR="007E1201" w:rsidRDefault="007E1201">
                                          <w:pPr>
                                            <w:rPr>
                                              <w:rFonts w:eastAsia="Times New Roman"/>
                                              <w:sz w:val="20"/>
                                              <w:szCs w:val="20"/>
                                            </w:rPr>
                                          </w:pPr>
                                        </w:p>
                                      </w:tc>
                                    </w:tr>
                                  </w:tbl>
                                  <w:p w:rsidR="007E1201" w:rsidRDefault="007E1201">
                                    <w:pPr>
                                      <w:jc w:val="center"/>
                                      <w:rPr>
                                        <w:rFonts w:eastAsia="Times New Roman"/>
                                        <w:sz w:val="20"/>
                                        <w:szCs w:val="20"/>
                                      </w:rPr>
                                    </w:pPr>
                                  </w:p>
                                </w:tc>
                              </w:tr>
                            </w:tbl>
                            <w:p w:rsidR="007E1201" w:rsidRDefault="007E1201">
                              <w:pPr>
                                <w:jc w:val="center"/>
                                <w:rPr>
                                  <w:rFonts w:eastAsia="Times New Roman"/>
                                  <w:sz w:val="20"/>
                                  <w:szCs w:val="20"/>
                                </w:rPr>
                              </w:pPr>
                            </w:p>
                          </w:tc>
                          <w:tc>
                            <w:tcPr>
                              <w:tcW w:w="150" w:type="dxa"/>
                              <w:shd w:val="clear" w:color="auto" w:fill="FFFFFF"/>
                              <w:vAlign w:val="center"/>
                              <w:hideMark/>
                            </w:tcPr>
                            <w:p w:rsidR="007E1201" w:rsidRDefault="007E1201">
                              <w:pPr>
                                <w:rPr>
                                  <w:rFonts w:eastAsia="Times New Roman"/>
                                  <w:sz w:val="20"/>
                                  <w:szCs w:val="20"/>
                                </w:rPr>
                              </w:pPr>
                            </w:p>
                          </w:tc>
                        </w:tr>
                      </w:tbl>
                      <w:p w:rsidR="007E1201" w:rsidRDefault="007E1201">
                        <w:pPr>
                          <w:rPr>
                            <w:rFonts w:eastAsia="Times New Roman"/>
                            <w:sz w:val="20"/>
                            <w:szCs w:val="20"/>
                          </w:rPr>
                        </w:pPr>
                      </w:p>
                    </w:tc>
                  </w:tr>
                  <w:tr w:rsidR="007E1201">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7E1201">
                          <w:tc>
                            <w:tcPr>
                              <w:tcW w:w="150" w:type="dxa"/>
                              <w:shd w:val="clear" w:color="auto" w:fill="FFFFFF"/>
                              <w:vAlign w:val="center"/>
                              <w:hideMark/>
                            </w:tcPr>
                            <w:p w:rsidR="007E1201" w:rsidRDefault="007E1201">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7E1201">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105"/>
                                      <w:gridCol w:w="3645"/>
                                    </w:tblGrid>
                                    <w:tr w:rsidR="007E1201">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6105"/>
                                          </w:tblGrid>
                                          <w:tr w:rsidR="007E1201">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505"/>
                                                </w:tblGrid>
                                                <w:tr w:rsidR="007E1201">
                                                  <w:tc>
                                                    <w:tcPr>
                                                      <w:tcW w:w="0" w:type="auto"/>
                                                      <w:vAlign w:val="center"/>
                                                      <w:hideMark/>
                                                    </w:tcPr>
                                                    <w:p w:rsidR="007E1201" w:rsidRDefault="007E1201">
                                                      <w:pPr>
                                                        <w:pStyle w:val="NormalWeb"/>
                                                        <w:spacing w:before="0" w:beforeAutospacing="0" w:after="0" w:afterAutospacing="0" w:line="330" w:lineRule="exact"/>
                                                        <w:rPr>
                                                          <w:rFonts w:ascii="Arial" w:hAnsi="Arial" w:cs="Arial"/>
                                                          <w:color w:val="393939"/>
                                                          <w:sz w:val="26"/>
                                                          <w:szCs w:val="26"/>
                                                          <w:lang w:eastAsia="en-US"/>
                                                        </w:rPr>
                                                      </w:pPr>
                                                      <w:r>
                                                        <w:rPr>
                                                          <w:rStyle w:val="lev"/>
                                                          <w:rFonts w:ascii="Arial" w:hAnsi="Arial" w:cs="Arial"/>
                                                          <w:color w:val="000000"/>
                                                          <w:sz w:val="18"/>
                                                          <w:szCs w:val="18"/>
                                                          <w:lang w:eastAsia="en-US"/>
                                                        </w:rPr>
                                                        <w:t>Contact presse :</w:t>
                                                      </w:r>
                                                    </w:p>
                                                    <w:p w:rsidR="007E1201" w:rsidRDefault="007E1201">
                                                      <w:pPr>
                                                        <w:pStyle w:val="NormalWeb"/>
                                                        <w:spacing w:before="0" w:beforeAutospacing="0" w:after="0" w:afterAutospacing="0" w:line="330" w:lineRule="exact"/>
                                                        <w:rPr>
                                                          <w:rFonts w:ascii="Arial" w:hAnsi="Arial" w:cs="Arial"/>
                                                          <w:color w:val="393939"/>
                                                          <w:sz w:val="26"/>
                                                          <w:szCs w:val="26"/>
                                                          <w:lang w:eastAsia="en-US"/>
                                                        </w:rPr>
                                                      </w:pPr>
                                                      <w:r>
                                                        <w:rPr>
                                                          <w:rStyle w:val="lev"/>
                                                          <w:rFonts w:ascii="Arial" w:hAnsi="Arial" w:cs="Arial"/>
                                                          <w:color w:val="000000"/>
                                                          <w:sz w:val="18"/>
                                                          <w:szCs w:val="18"/>
                                                          <w:lang w:eastAsia="en-US"/>
                                                        </w:rPr>
                                                        <w:t>Ministère du Travail, de l'Emploi et de l'Insertion </w:t>
                                                      </w:r>
                                                    </w:p>
                                                    <w:p w:rsidR="007E1201" w:rsidRDefault="007E1201">
                                                      <w:pPr>
                                                        <w:pStyle w:val="NormalWeb"/>
                                                        <w:spacing w:before="0" w:beforeAutospacing="0" w:after="0" w:afterAutospacing="0" w:line="330" w:lineRule="exact"/>
                                                        <w:rPr>
                                                          <w:rFonts w:ascii="Arial" w:hAnsi="Arial" w:cs="Arial"/>
                                                          <w:color w:val="393939"/>
                                                          <w:sz w:val="26"/>
                                                          <w:szCs w:val="26"/>
                                                          <w:lang w:eastAsia="en-US"/>
                                                        </w:rPr>
                                                      </w:pPr>
                                                      <w:r>
                                                        <w:rPr>
                                                          <w:rStyle w:val="lev"/>
                                                          <w:rFonts w:ascii="Arial" w:hAnsi="Arial" w:cs="Arial"/>
                                                          <w:color w:val="000000"/>
                                                          <w:sz w:val="18"/>
                                                          <w:szCs w:val="18"/>
                                                          <w:lang w:eastAsia="en-US"/>
                                                        </w:rPr>
                                                        <w:t>Cabinet d’Elisabeth Borne</w:t>
                                                      </w:r>
                                                    </w:p>
                                                    <w:p w:rsidR="007E1201" w:rsidRDefault="007E1201">
                                                      <w:pPr>
                                                        <w:pStyle w:val="NormalWeb"/>
                                                        <w:spacing w:before="0" w:beforeAutospacing="0" w:after="0" w:afterAutospacing="0" w:line="330" w:lineRule="exact"/>
                                                        <w:rPr>
                                                          <w:rFonts w:ascii="Arial" w:hAnsi="Arial" w:cs="Arial"/>
                                                          <w:color w:val="393939"/>
                                                          <w:sz w:val="26"/>
                                                          <w:szCs w:val="26"/>
                                                          <w:lang w:eastAsia="en-US"/>
                                                        </w:rPr>
                                                      </w:pPr>
                                                      <w:r>
                                                        <w:rPr>
                                                          <w:rFonts w:ascii="Arial" w:hAnsi="Arial" w:cs="Arial"/>
                                                          <w:color w:val="000000"/>
                                                          <w:sz w:val="18"/>
                                                          <w:szCs w:val="18"/>
                                                          <w:lang w:eastAsia="en-US"/>
                                                        </w:rPr>
                                                        <w:t>Tél : 01 49 55 32 21 </w:t>
                                                      </w:r>
                                                    </w:p>
                                                    <w:p w:rsidR="007E1201" w:rsidRDefault="007E1201">
                                                      <w:pPr>
                                                        <w:pStyle w:val="NormalWeb"/>
                                                        <w:spacing w:before="0" w:beforeAutospacing="0" w:after="0" w:afterAutospacing="0" w:line="330" w:lineRule="exact"/>
                                                        <w:rPr>
                                                          <w:rFonts w:ascii="Arial" w:hAnsi="Arial" w:cs="Arial"/>
                                                          <w:color w:val="393939"/>
                                                          <w:sz w:val="26"/>
                                                          <w:szCs w:val="26"/>
                                                          <w:lang w:eastAsia="en-US"/>
                                                        </w:rPr>
                                                      </w:pPr>
                                                      <w:r>
                                                        <w:rPr>
                                                          <w:rFonts w:ascii="Arial" w:hAnsi="Arial" w:cs="Arial"/>
                                                          <w:color w:val="000000"/>
                                                          <w:sz w:val="18"/>
                                                          <w:szCs w:val="18"/>
                                                          <w:lang w:eastAsia="en-US"/>
                                                        </w:rPr>
                                                        <w:t>Mél :</w:t>
                                                      </w:r>
                                                      <w:r>
                                                        <w:rPr>
                                                          <w:rFonts w:ascii="Arial" w:hAnsi="Arial" w:cs="Arial"/>
                                                          <w:color w:val="393939"/>
                                                          <w:sz w:val="18"/>
                                                          <w:szCs w:val="18"/>
                                                          <w:lang w:eastAsia="en-US"/>
                                                        </w:rPr>
                                                        <w:t xml:space="preserve"> </w:t>
                                                      </w:r>
                                                      <w:hyperlink r:id="rId7" w:history="1">
                                                        <w:r>
                                                          <w:rPr>
                                                            <w:rStyle w:val="Lienhypertexte"/>
                                                            <w:rFonts w:ascii="Arial" w:hAnsi="Arial" w:cs="Arial"/>
                                                            <w:sz w:val="18"/>
                                                            <w:szCs w:val="18"/>
                                                            <w:lang w:eastAsia="en-US"/>
                                                          </w:rPr>
                                                          <w:t>sec.presse.travail@cab.travail.gouv.fr</w:t>
                                                        </w:r>
                                                      </w:hyperlink>
                                                    </w:p>
                                                  </w:tc>
                                                </w:tr>
                                              </w:tbl>
                                              <w:p w:rsidR="007E1201" w:rsidRDefault="007E1201">
                                                <w:pPr>
                                                  <w:rPr>
                                                    <w:rFonts w:eastAsia="Times New Roman"/>
                                                    <w:sz w:val="20"/>
                                                    <w:szCs w:val="20"/>
                                                  </w:rPr>
                                                </w:pPr>
                                              </w:p>
                                            </w:tc>
                                          </w:tr>
                                        </w:tbl>
                                        <w:p w:rsidR="007E1201" w:rsidRDefault="007E1201">
                                          <w:pPr>
                                            <w:rPr>
                                              <w:rFonts w:eastAsia="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3645"/>
                                          </w:tblGrid>
                                          <w:tr w:rsidR="007E1201">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40"/>
                                                </w:tblGrid>
                                                <w:tr w:rsidR="007E1201">
                                                  <w:trPr>
                                                    <w:trHeight w:val="960"/>
                                                    <w:jc w:val="center"/>
                                                  </w:trPr>
                                                  <w:tc>
                                                    <w:tcPr>
                                                      <w:tcW w:w="0" w:type="auto"/>
                                                      <w:vAlign w:val="center"/>
                                                      <w:hideMark/>
                                                    </w:tcPr>
                                                    <w:p w:rsidR="007E1201" w:rsidRDefault="007E1201">
                                                      <w:pPr>
                                                        <w:spacing w:line="960" w:lineRule="exact"/>
                                                        <w:rPr>
                                                          <w:sz w:val="96"/>
                                                          <w:szCs w:val="96"/>
                                                          <w:lang w:eastAsia="en-US"/>
                                                        </w:rPr>
                                                      </w:pPr>
                                                      <w:r>
                                                        <w:rPr>
                                                          <w:sz w:val="96"/>
                                                          <w:szCs w:val="96"/>
                                                          <w:lang w:eastAsia="en-US"/>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3045"/>
                                                </w:tblGrid>
                                                <w:tr w:rsidR="007E1201">
                                                  <w:tc>
                                                    <w:tcPr>
                                                      <w:tcW w:w="0" w:type="auto"/>
                                                      <w:vAlign w:val="center"/>
                                                      <w:hideMark/>
                                                    </w:tcPr>
                                                    <w:p w:rsidR="007E1201" w:rsidRDefault="007E1201">
                                                      <w:pPr>
                                                        <w:pStyle w:val="NormalWeb"/>
                                                        <w:spacing w:before="0" w:beforeAutospacing="0" w:after="0" w:afterAutospacing="0" w:line="330" w:lineRule="exact"/>
                                                        <w:jc w:val="right"/>
                                                        <w:rPr>
                                                          <w:rFonts w:ascii="Arial" w:hAnsi="Arial" w:cs="Arial"/>
                                                          <w:color w:val="393939"/>
                                                          <w:sz w:val="26"/>
                                                          <w:szCs w:val="26"/>
                                                          <w:lang w:eastAsia="en-US"/>
                                                        </w:rPr>
                                                      </w:pPr>
                                                      <w:r>
                                                        <w:rPr>
                                                          <w:rFonts w:ascii="Arial" w:hAnsi="Arial" w:cs="Arial"/>
                                                          <w:color w:val="000000"/>
                                                          <w:sz w:val="18"/>
                                                          <w:szCs w:val="18"/>
                                                          <w:lang w:eastAsia="en-US"/>
                                                        </w:rPr>
                                                        <w:t>127, rue de Grenelle</w:t>
                                                      </w:r>
                                                    </w:p>
                                                    <w:p w:rsidR="007E1201" w:rsidRDefault="007E1201">
                                                      <w:pPr>
                                                        <w:pStyle w:val="NormalWeb"/>
                                                        <w:spacing w:before="0" w:beforeAutospacing="0" w:after="0" w:afterAutospacing="0" w:line="330" w:lineRule="exact"/>
                                                        <w:jc w:val="right"/>
                                                        <w:rPr>
                                                          <w:rFonts w:ascii="Arial" w:hAnsi="Arial" w:cs="Arial"/>
                                                          <w:color w:val="393939"/>
                                                          <w:sz w:val="26"/>
                                                          <w:szCs w:val="26"/>
                                                          <w:lang w:eastAsia="en-US"/>
                                                        </w:rPr>
                                                      </w:pPr>
                                                      <w:r>
                                                        <w:rPr>
                                                          <w:rFonts w:ascii="Arial" w:hAnsi="Arial" w:cs="Arial"/>
                                                          <w:color w:val="000000"/>
                                                          <w:sz w:val="18"/>
                                                          <w:szCs w:val="18"/>
                                                          <w:lang w:eastAsia="en-US"/>
                                                        </w:rPr>
                                                        <w:t>75007 PARIS</w:t>
                                                      </w:r>
                                                    </w:p>
                                                  </w:tc>
                                                </w:tr>
                                              </w:tbl>
                                              <w:p w:rsidR="007E1201" w:rsidRDefault="007E1201">
                                                <w:pPr>
                                                  <w:rPr>
                                                    <w:rFonts w:eastAsia="Times New Roman"/>
                                                    <w:sz w:val="20"/>
                                                    <w:szCs w:val="20"/>
                                                  </w:rPr>
                                                </w:pPr>
                                              </w:p>
                                            </w:tc>
                                          </w:tr>
                                        </w:tbl>
                                        <w:p w:rsidR="007E1201" w:rsidRDefault="007E1201">
                                          <w:pPr>
                                            <w:rPr>
                                              <w:rFonts w:eastAsia="Times New Roman"/>
                                              <w:sz w:val="20"/>
                                              <w:szCs w:val="20"/>
                                            </w:rPr>
                                          </w:pPr>
                                        </w:p>
                                      </w:tc>
                                    </w:tr>
                                  </w:tbl>
                                  <w:p w:rsidR="007E1201" w:rsidRDefault="007E1201">
                                    <w:pPr>
                                      <w:jc w:val="center"/>
                                      <w:rPr>
                                        <w:rFonts w:eastAsia="Times New Roman"/>
                                        <w:sz w:val="20"/>
                                        <w:szCs w:val="20"/>
                                      </w:rPr>
                                    </w:pPr>
                                  </w:p>
                                </w:tc>
                              </w:tr>
                            </w:tbl>
                            <w:p w:rsidR="007E1201" w:rsidRDefault="007E1201">
                              <w:pPr>
                                <w:jc w:val="center"/>
                                <w:rPr>
                                  <w:rFonts w:eastAsia="Times New Roman"/>
                                  <w:sz w:val="20"/>
                                  <w:szCs w:val="20"/>
                                </w:rPr>
                              </w:pPr>
                            </w:p>
                          </w:tc>
                          <w:tc>
                            <w:tcPr>
                              <w:tcW w:w="150" w:type="dxa"/>
                              <w:shd w:val="clear" w:color="auto" w:fill="FFFFFF"/>
                              <w:vAlign w:val="center"/>
                              <w:hideMark/>
                            </w:tcPr>
                            <w:p w:rsidR="007E1201" w:rsidRDefault="007E1201">
                              <w:pPr>
                                <w:rPr>
                                  <w:rFonts w:eastAsia="Times New Roman"/>
                                  <w:sz w:val="20"/>
                                  <w:szCs w:val="20"/>
                                </w:rPr>
                              </w:pPr>
                            </w:p>
                          </w:tc>
                        </w:tr>
                      </w:tbl>
                      <w:p w:rsidR="007E1201" w:rsidRDefault="007E1201">
                        <w:pPr>
                          <w:rPr>
                            <w:rFonts w:eastAsia="Times New Roman"/>
                            <w:sz w:val="20"/>
                            <w:szCs w:val="20"/>
                          </w:rPr>
                        </w:pPr>
                      </w:p>
                    </w:tc>
                  </w:tr>
                  <w:tr w:rsidR="007E1201">
                    <w:tc>
                      <w:tcPr>
                        <w:tcW w:w="0" w:type="auto"/>
                        <w:shd w:val="clear" w:color="auto" w:fill="auto"/>
                        <w:vAlign w:val="center"/>
                      </w:tcPr>
                      <w:tbl>
                        <w:tblPr>
                          <w:tblW w:w="0" w:type="auto"/>
                          <w:tblCellMar>
                            <w:left w:w="0" w:type="dxa"/>
                            <w:right w:w="0" w:type="dxa"/>
                          </w:tblCellMar>
                          <w:tblLook w:val="04A0" w:firstRow="1" w:lastRow="0" w:firstColumn="1" w:lastColumn="0" w:noHBand="0" w:noVBand="1"/>
                        </w:tblPr>
                        <w:tblGrid>
                          <w:gridCol w:w="150"/>
                          <w:gridCol w:w="9750"/>
                          <w:gridCol w:w="150"/>
                        </w:tblGrid>
                        <w:tr w:rsidR="007E1201">
                          <w:tc>
                            <w:tcPr>
                              <w:tcW w:w="150" w:type="dxa"/>
                              <w:shd w:val="clear" w:color="auto" w:fill="FFFFFF"/>
                              <w:vAlign w:val="center"/>
                              <w:hideMark/>
                            </w:tcPr>
                            <w:p w:rsidR="007E1201" w:rsidRDefault="007E1201">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7E1201">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7E120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7E1201">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7E1201">
                                                  <w:tc>
                                                    <w:tcPr>
                                                      <w:tcW w:w="0" w:type="auto"/>
                                                      <w:vAlign w:val="center"/>
                                                      <w:hideMark/>
                                                    </w:tcPr>
                                                    <w:p w:rsidR="007E1201" w:rsidRDefault="007E1201">
                                                      <w:pPr>
                                                        <w:pStyle w:val="NormalWeb"/>
                                                        <w:spacing w:before="0" w:beforeAutospacing="0" w:after="0" w:afterAutospacing="0" w:line="225" w:lineRule="exact"/>
                                                        <w:jc w:val="center"/>
                                                        <w:rPr>
                                                          <w:rFonts w:ascii="Arial" w:hAnsi="Arial" w:cs="Arial"/>
                                                          <w:color w:val="393939"/>
                                                          <w:sz w:val="26"/>
                                                          <w:szCs w:val="26"/>
                                                          <w:lang w:eastAsia="en-US"/>
                                                        </w:rPr>
                                                      </w:pPr>
                                                      <w:r>
                                                        <w:rPr>
                                                          <w:rFonts w:ascii="Arial" w:hAnsi="Arial" w:cs="Arial"/>
                                                          <w:color w:val="000000"/>
                                                          <w:sz w:val="17"/>
                                                          <w:szCs w:val="17"/>
                                                          <w:lang w:eastAsia="en-US"/>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lang w:eastAsia="en-US"/>
                                                        </w:rPr>
                                                        <w:t xml:space="preserve">s </w:t>
                                                      </w:r>
                                                      <w:r>
                                                        <w:rPr>
                                                          <w:rFonts w:ascii="Arial" w:hAnsi="Arial" w:cs="Arial"/>
                                                          <w:color w:val="000000"/>
                                                          <w:sz w:val="17"/>
                                                          <w:szCs w:val="17"/>
                                                          <w:lang w:eastAsia="en-US"/>
                                                        </w:rPr>
                                                        <w:t>concernant. Vous pouvez exercer vos droits en adressant un e-mail à l’adresse</w:t>
                                                      </w:r>
                                                      <w:r>
                                                        <w:rPr>
                                                          <w:rFonts w:ascii="Arial" w:hAnsi="Arial" w:cs="Arial"/>
                                                          <w:color w:val="393939"/>
                                                          <w:sz w:val="17"/>
                                                          <w:szCs w:val="17"/>
                                                          <w:lang w:eastAsia="en-US"/>
                                                        </w:rPr>
                                                        <w:t xml:space="preserve"> </w:t>
                                                      </w:r>
                                                      <w:hyperlink r:id="rId8" w:tgtFrame="_blank" w:history="1">
                                                        <w:r>
                                                          <w:rPr>
                                                            <w:rStyle w:val="Lienhypertexte"/>
                                                            <w:rFonts w:ascii="Arial" w:hAnsi="Arial" w:cs="Arial"/>
                                                            <w:color w:val="0595D6"/>
                                                            <w:sz w:val="17"/>
                                                            <w:szCs w:val="17"/>
                                                            <w:lang w:eastAsia="en-US"/>
                                                          </w:rPr>
                                                          <w:t>DDC-RGPD-CAB@ddc.social.gouv.fr</w:t>
                                                        </w:r>
                                                      </w:hyperlink>
                                                      <w:r>
                                                        <w:rPr>
                                                          <w:rFonts w:ascii="Arial" w:hAnsi="Arial" w:cs="Arial"/>
                                                          <w:color w:val="393939"/>
                                                          <w:sz w:val="17"/>
                                                          <w:szCs w:val="17"/>
                                                          <w:lang w:eastAsia="en-US"/>
                                                        </w:rPr>
                                                        <w:t>.</w:t>
                                                      </w:r>
                                                    </w:p>
                                                  </w:tc>
                                                </w:tr>
                                              </w:tbl>
                                              <w:p w:rsidR="007E1201" w:rsidRDefault="007E1201">
                                                <w:pPr>
                                                  <w:rPr>
                                                    <w:rFonts w:eastAsia="Times New Roman"/>
                                                    <w:sz w:val="20"/>
                                                    <w:szCs w:val="20"/>
                                                  </w:rPr>
                                                </w:pPr>
                                              </w:p>
                                            </w:tc>
                                          </w:tr>
                                        </w:tbl>
                                        <w:p w:rsidR="007E1201" w:rsidRDefault="007E1201">
                                          <w:pPr>
                                            <w:rPr>
                                              <w:rFonts w:eastAsia="Times New Roman"/>
                                              <w:sz w:val="20"/>
                                              <w:szCs w:val="20"/>
                                            </w:rPr>
                                          </w:pPr>
                                        </w:p>
                                      </w:tc>
                                    </w:tr>
                                  </w:tbl>
                                  <w:p w:rsidR="007E1201" w:rsidRDefault="007E1201">
                                    <w:pPr>
                                      <w:jc w:val="center"/>
                                      <w:rPr>
                                        <w:rFonts w:eastAsia="Times New Roman"/>
                                        <w:sz w:val="20"/>
                                        <w:szCs w:val="20"/>
                                      </w:rPr>
                                    </w:pPr>
                                  </w:p>
                                </w:tc>
                              </w:tr>
                            </w:tbl>
                            <w:p w:rsidR="007E1201" w:rsidRDefault="007E1201">
                              <w:pPr>
                                <w:jc w:val="center"/>
                                <w:rPr>
                                  <w:rFonts w:eastAsia="Times New Roman"/>
                                  <w:sz w:val="20"/>
                                  <w:szCs w:val="20"/>
                                </w:rPr>
                              </w:pPr>
                            </w:p>
                          </w:tc>
                          <w:tc>
                            <w:tcPr>
                              <w:tcW w:w="150" w:type="dxa"/>
                              <w:shd w:val="clear" w:color="auto" w:fill="FFFFFF"/>
                              <w:vAlign w:val="center"/>
                              <w:hideMark/>
                            </w:tcPr>
                            <w:p w:rsidR="007E1201" w:rsidRDefault="007E1201">
                              <w:pPr>
                                <w:rPr>
                                  <w:rFonts w:eastAsia="Times New Roman"/>
                                  <w:sz w:val="20"/>
                                  <w:szCs w:val="20"/>
                                </w:rPr>
                              </w:pPr>
                            </w:p>
                          </w:tc>
                        </w:tr>
                      </w:tbl>
                      <w:p w:rsidR="007E1201" w:rsidRDefault="007E1201">
                        <w:pPr>
                          <w:spacing w:line="252" w:lineRule="auto"/>
                          <w:rPr>
                            <w:vanish/>
                            <w:lang w:eastAsia="en-US"/>
                          </w:rPr>
                        </w:pPr>
                      </w:p>
                      <w:tbl>
                        <w:tblPr>
                          <w:tblW w:w="5000" w:type="pct"/>
                          <w:tblCellMar>
                            <w:left w:w="0" w:type="dxa"/>
                            <w:right w:w="0" w:type="dxa"/>
                          </w:tblCellMar>
                          <w:tblLook w:val="04A0" w:firstRow="1" w:lastRow="0" w:firstColumn="1" w:lastColumn="0" w:noHBand="0" w:noVBand="1"/>
                        </w:tblPr>
                        <w:tblGrid>
                          <w:gridCol w:w="10254"/>
                        </w:tblGrid>
                        <w:tr w:rsidR="007E1201">
                          <w:trPr>
                            <w:trHeight w:val="150"/>
                          </w:trPr>
                          <w:tc>
                            <w:tcPr>
                              <w:tcW w:w="9750" w:type="dxa"/>
                              <w:shd w:val="clear" w:color="auto" w:fill="FFFFFF"/>
                              <w:tcMar>
                                <w:top w:w="0" w:type="dxa"/>
                                <w:left w:w="150" w:type="dxa"/>
                                <w:bottom w:w="0" w:type="dxa"/>
                                <w:right w:w="150" w:type="dxa"/>
                              </w:tcMar>
                              <w:vAlign w:val="center"/>
                              <w:hideMark/>
                            </w:tcPr>
                            <w:p w:rsidR="007E1201" w:rsidRDefault="007E1201">
                              <w:pPr>
                                <w:spacing w:line="150" w:lineRule="exact"/>
                                <w:rPr>
                                  <w:sz w:val="15"/>
                                  <w:szCs w:val="15"/>
                                  <w:lang w:eastAsia="en-US"/>
                                </w:rPr>
                              </w:pPr>
                              <w:r>
                                <w:rPr>
                                  <w:sz w:val="15"/>
                                  <w:szCs w:val="15"/>
                                  <w:lang w:eastAsia="en-US"/>
                                </w:rPr>
                                <w:t xml:space="preserve">  </w:t>
                              </w:r>
                            </w:p>
                          </w:tc>
                        </w:tr>
                      </w:tbl>
                      <w:p w:rsidR="007E1201" w:rsidRDefault="007E1201">
                        <w:pPr>
                          <w:spacing w:line="252" w:lineRule="auto"/>
                          <w:rPr>
                            <w:sz w:val="20"/>
                            <w:szCs w:val="20"/>
                            <w:lang w:eastAsia="en-US"/>
                          </w:rPr>
                        </w:pPr>
                      </w:p>
                    </w:tc>
                  </w:tr>
                </w:tbl>
                <w:p w:rsidR="007E1201" w:rsidRDefault="007E1201">
                  <w:pPr>
                    <w:spacing w:line="252" w:lineRule="auto"/>
                    <w:rPr>
                      <w:lang w:eastAsia="en-US"/>
                    </w:rPr>
                  </w:pPr>
                </w:p>
                <w:tbl>
                  <w:tblPr>
                    <w:tblW w:w="5000" w:type="pct"/>
                    <w:shd w:val="clear" w:color="auto" w:fill="FFFFFF"/>
                    <w:tblCellMar>
                      <w:left w:w="0" w:type="dxa"/>
                      <w:right w:w="0" w:type="dxa"/>
                    </w:tblCellMar>
                    <w:tblLook w:val="04A0" w:firstRow="1" w:lastRow="0" w:firstColumn="1" w:lastColumn="0" w:noHBand="0" w:noVBand="1"/>
                  </w:tblPr>
                  <w:tblGrid>
                    <w:gridCol w:w="10254"/>
                  </w:tblGrid>
                  <w:tr w:rsidR="007E1201">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7E1201">
                          <w:tc>
                            <w:tcPr>
                              <w:tcW w:w="150" w:type="dxa"/>
                              <w:vAlign w:val="center"/>
                              <w:hideMark/>
                            </w:tcPr>
                            <w:p w:rsidR="007E1201" w:rsidRDefault="007E1201">
                              <w:pPr>
                                <w:rPr>
                                  <w:lang w:eastAsia="en-US"/>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7E1201">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7E120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7E1201">
                                            <w:tc>
                                              <w:tcPr>
                                                <w:tcW w:w="0" w:type="auto"/>
                                                <w:tcMar>
                                                  <w:top w:w="300" w:type="dxa"/>
                                                  <w:left w:w="300" w:type="dxa"/>
                                                  <w:bottom w:w="300" w:type="dxa"/>
                                                  <w:right w:w="300" w:type="dxa"/>
                                                </w:tcMar>
                                                <w:vAlign w:val="center"/>
                                                <w:hideMark/>
                                              </w:tcPr>
                                              <w:p w:rsidR="007E1201" w:rsidRDefault="007E1201">
                                                <w:pPr>
                                                  <w:rPr>
                                                    <w:rFonts w:eastAsia="Times New Roman"/>
                                                    <w:sz w:val="20"/>
                                                    <w:szCs w:val="20"/>
                                                  </w:rPr>
                                                </w:pPr>
                                              </w:p>
                                            </w:tc>
                                          </w:tr>
                                        </w:tbl>
                                        <w:p w:rsidR="007E1201" w:rsidRDefault="007E1201">
                                          <w:pPr>
                                            <w:rPr>
                                              <w:rFonts w:eastAsia="Times New Roman"/>
                                              <w:sz w:val="20"/>
                                              <w:szCs w:val="20"/>
                                            </w:rPr>
                                          </w:pPr>
                                        </w:p>
                                      </w:tc>
                                    </w:tr>
                                  </w:tbl>
                                  <w:p w:rsidR="007E1201" w:rsidRDefault="007E1201">
                                    <w:pPr>
                                      <w:jc w:val="center"/>
                                      <w:rPr>
                                        <w:rFonts w:eastAsia="Times New Roman"/>
                                        <w:sz w:val="20"/>
                                        <w:szCs w:val="20"/>
                                      </w:rPr>
                                    </w:pPr>
                                  </w:p>
                                </w:tc>
                              </w:tr>
                            </w:tbl>
                            <w:p w:rsidR="007E1201" w:rsidRDefault="007E1201">
                              <w:pPr>
                                <w:jc w:val="center"/>
                                <w:rPr>
                                  <w:rFonts w:eastAsia="Times New Roman"/>
                                  <w:sz w:val="20"/>
                                  <w:szCs w:val="20"/>
                                </w:rPr>
                              </w:pPr>
                            </w:p>
                          </w:tc>
                          <w:tc>
                            <w:tcPr>
                              <w:tcW w:w="150" w:type="dxa"/>
                              <w:vAlign w:val="center"/>
                              <w:hideMark/>
                            </w:tcPr>
                            <w:p w:rsidR="007E1201" w:rsidRDefault="007E1201">
                              <w:pPr>
                                <w:rPr>
                                  <w:rFonts w:eastAsia="Times New Roman"/>
                                  <w:sz w:val="20"/>
                                  <w:szCs w:val="20"/>
                                </w:rPr>
                              </w:pPr>
                            </w:p>
                          </w:tc>
                        </w:tr>
                      </w:tbl>
                      <w:p w:rsidR="007E1201" w:rsidRDefault="007E1201">
                        <w:pPr>
                          <w:rPr>
                            <w:rFonts w:eastAsia="Times New Roman"/>
                            <w:sz w:val="20"/>
                            <w:szCs w:val="20"/>
                          </w:rPr>
                        </w:pPr>
                      </w:p>
                    </w:tc>
                  </w:tr>
                </w:tbl>
                <w:p w:rsidR="007E1201" w:rsidRDefault="007E1201">
                  <w:pPr>
                    <w:spacing w:line="252" w:lineRule="auto"/>
                    <w:rPr>
                      <w:sz w:val="20"/>
                      <w:szCs w:val="20"/>
                      <w:lang w:eastAsia="en-US"/>
                    </w:rPr>
                  </w:pPr>
                </w:p>
              </w:tc>
            </w:tr>
          </w:tbl>
          <w:p w:rsidR="007E1201" w:rsidRDefault="007E1201">
            <w:pPr>
              <w:jc w:val="center"/>
              <w:rPr>
                <w:rFonts w:eastAsia="Times New Roman"/>
                <w:sz w:val="20"/>
                <w:szCs w:val="20"/>
              </w:rPr>
            </w:pPr>
          </w:p>
        </w:tc>
      </w:tr>
    </w:tbl>
    <w:p w:rsidR="00570550" w:rsidRPr="007E1201" w:rsidRDefault="007E1201" w:rsidP="007E1201">
      <w:bookmarkStart w:id="1" w:name="_GoBack"/>
      <w:bookmarkEnd w:id="0"/>
      <w:bookmarkEnd w:id="1"/>
    </w:p>
    <w:sectPr w:rsidR="00570550" w:rsidRPr="007E1201" w:rsidSect="00A505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B3CAE"/>
    <w:multiLevelType w:val="hybridMultilevel"/>
    <w:tmpl w:val="E12ACC24"/>
    <w:lvl w:ilvl="0" w:tplc="79C8810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57D"/>
    <w:rsid w:val="00146195"/>
    <w:rsid w:val="0041446F"/>
    <w:rsid w:val="00775A80"/>
    <w:rsid w:val="007E1201"/>
    <w:rsid w:val="00A505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D36DE"/>
  <w15:chartTrackingRefBased/>
  <w15:docId w15:val="{39AD17F3-9255-46EC-8F44-0BB2216F2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57D"/>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5057D"/>
    <w:rPr>
      <w:color w:val="0000FF"/>
      <w:u w:val="single"/>
    </w:rPr>
  </w:style>
  <w:style w:type="paragraph" w:styleId="NormalWeb">
    <w:name w:val="Normal (Web)"/>
    <w:basedOn w:val="Normal"/>
    <w:uiPriority w:val="99"/>
    <w:unhideWhenUsed/>
    <w:rsid w:val="00A5057D"/>
    <w:pPr>
      <w:spacing w:before="100" w:beforeAutospacing="1" w:after="100" w:afterAutospacing="1"/>
    </w:pPr>
  </w:style>
  <w:style w:type="character" w:styleId="lev">
    <w:name w:val="Strong"/>
    <w:basedOn w:val="Policepardfaut"/>
    <w:uiPriority w:val="22"/>
    <w:qFormat/>
    <w:rsid w:val="00A5057D"/>
    <w:rPr>
      <w:b/>
      <w:bCs/>
    </w:rPr>
  </w:style>
  <w:style w:type="paragraph" w:styleId="Paragraphedeliste">
    <w:name w:val="List Paragraph"/>
    <w:basedOn w:val="Normal"/>
    <w:uiPriority w:val="34"/>
    <w:qFormat/>
    <w:rsid w:val="00A5057D"/>
    <w:pPr>
      <w:spacing w:after="160" w:line="259" w:lineRule="auto"/>
      <w:ind w:left="720"/>
      <w:contextualSpacing/>
    </w:pPr>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258121">
      <w:bodyDiv w:val="1"/>
      <w:marLeft w:val="0"/>
      <w:marRight w:val="0"/>
      <w:marTop w:val="0"/>
      <w:marBottom w:val="0"/>
      <w:divBdr>
        <w:top w:val="none" w:sz="0" w:space="0" w:color="auto"/>
        <w:left w:val="none" w:sz="0" w:space="0" w:color="auto"/>
        <w:bottom w:val="none" w:sz="0" w:space="0" w:color="auto"/>
        <w:right w:val="none" w:sz="0" w:space="0" w:color="auto"/>
      </w:divBdr>
    </w:div>
    <w:div w:id="1046298931">
      <w:bodyDiv w:val="1"/>
      <w:marLeft w:val="0"/>
      <w:marRight w:val="0"/>
      <w:marTop w:val="0"/>
      <w:marBottom w:val="0"/>
      <w:divBdr>
        <w:top w:val="none" w:sz="0" w:space="0" w:color="auto"/>
        <w:left w:val="none" w:sz="0" w:space="0" w:color="auto"/>
        <w:bottom w:val="none" w:sz="0" w:space="0" w:color="auto"/>
        <w:right w:val="none" w:sz="0" w:space="0" w:color="auto"/>
      </w:divBdr>
    </w:div>
    <w:div w:id="192264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C-RGPD-CAB@ddc.social.gouv.fr" TargetMode="External"/><Relationship Id="rId3" Type="http://schemas.openxmlformats.org/officeDocument/2006/relationships/settings" Target="settings.xml"/><Relationship Id="rId7" Type="http://schemas.openxmlformats.org/officeDocument/2006/relationships/hyperlink" Target="mailto:sec.presse.travail@cab.travail.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70441.54CA7A2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922</Words>
  <Characters>5072</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GLERANT, Justine (CAB/TRAVAIL)</dc:creator>
  <cp:keywords/>
  <dc:description/>
  <cp:lastModifiedBy>GLERANT, Justine (CAB/TRAVAIL)</cp:lastModifiedBy>
  <cp:revision>3</cp:revision>
  <dcterms:created xsi:type="dcterms:W3CDTF">2021-02-16T07:37:00Z</dcterms:created>
  <dcterms:modified xsi:type="dcterms:W3CDTF">2021-02-16T08:10:00Z</dcterms:modified>
</cp:coreProperties>
</file>