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7C045F" w:rsidTr="007C045F">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7C045F">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7C045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C045F">
                          <w:tc>
                            <w:tcPr>
                              <w:tcW w:w="150" w:type="dxa"/>
                              <w:vAlign w:val="center"/>
                              <w:hideMark/>
                            </w:tcPr>
                            <w:p w:rsidR="007C045F" w:rsidRDefault="007C045F">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C045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C04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C045F">
                                            <w:tc>
                                              <w:tcPr>
                                                <w:tcW w:w="0" w:type="auto"/>
                                                <w:tcMar>
                                                  <w:top w:w="300" w:type="dxa"/>
                                                  <w:left w:w="300" w:type="dxa"/>
                                                  <w:bottom w:w="75" w:type="dxa"/>
                                                  <w:right w:w="300" w:type="dxa"/>
                                                </w:tcMar>
                                                <w:vAlign w:val="center"/>
                                                <w:hideMark/>
                                              </w:tcPr>
                                              <w:p w:rsidR="007C045F" w:rsidRDefault="007C045F">
                                                <w:pPr>
                                                  <w:rPr>
                                                    <w:rFonts w:eastAsia="Times New Roman"/>
                                                    <w:sz w:val="20"/>
                                                    <w:szCs w:val="20"/>
                                                  </w:rPr>
                                                </w:pPr>
                                              </w:p>
                                            </w:tc>
                                          </w:tr>
                                        </w:tbl>
                                        <w:p w:rsidR="007C045F" w:rsidRDefault="007C045F">
                                          <w:pPr>
                                            <w:rPr>
                                              <w:rFonts w:eastAsia="Times New Roman"/>
                                              <w:sz w:val="20"/>
                                              <w:szCs w:val="20"/>
                                            </w:rPr>
                                          </w:pPr>
                                        </w:p>
                                      </w:tc>
                                    </w:tr>
                                  </w:tbl>
                                  <w:p w:rsidR="007C045F" w:rsidRDefault="007C045F">
                                    <w:pPr>
                                      <w:jc w:val="center"/>
                                      <w:rPr>
                                        <w:rFonts w:eastAsia="Times New Roman"/>
                                        <w:sz w:val="20"/>
                                        <w:szCs w:val="20"/>
                                      </w:rPr>
                                    </w:pPr>
                                  </w:p>
                                </w:tc>
                              </w:tr>
                            </w:tbl>
                            <w:p w:rsidR="007C045F" w:rsidRDefault="007C045F">
                              <w:pPr>
                                <w:jc w:val="center"/>
                                <w:rPr>
                                  <w:rFonts w:eastAsia="Times New Roman"/>
                                  <w:sz w:val="20"/>
                                  <w:szCs w:val="20"/>
                                </w:rPr>
                              </w:pPr>
                            </w:p>
                          </w:tc>
                          <w:tc>
                            <w:tcPr>
                              <w:tcW w:w="150" w:type="dxa"/>
                              <w:vAlign w:val="center"/>
                              <w:hideMark/>
                            </w:tcPr>
                            <w:p w:rsidR="007C045F" w:rsidRDefault="007C045F">
                              <w:pPr>
                                <w:rPr>
                                  <w:rFonts w:eastAsia="Times New Roman"/>
                                  <w:sz w:val="20"/>
                                  <w:szCs w:val="20"/>
                                </w:rPr>
                              </w:pPr>
                            </w:p>
                          </w:tc>
                        </w:tr>
                      </w:tbl>
                      <w:p w:rsidR="007C045F" w:rsidRDefault="007C045F">
                        <w:pPr>
                          <w:rPr>
                            <w:rFonts w:eastAsia="Times New Roman"/>
                            <w:sz w:val="20"/>
                            <w:szCs w:val="20"/>
                          </w:rPr>
                        </w:pPr>
                      </w:p>
                    </w:tc>
                  </w:tr>
                  <w:tr w:rsidR="007C045F">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7C045F">
                          <w:trPr>
                            <w:trHeight w:val="150"/>
                          </w:trPr>
                          <w:tc>
                            <w:tcPr>
                              <w:tcW w:w="9750" w:type="dxa"/>
                              <w:shd w:val="clear" w:color="auto" w:fill="FFFFFF"/>
                              <w:tcMar>
                                <w:top w:w="0" w:type="dxa"/>
                                <w:left w:w="150" w:type="dxa"/>
                                <w:bottom w:w="0" w:type="dxa"/>
                                <w:right w:w="150" w:type="dxa"/>
                              </w:tcMar>
                              <w:vAlign w:val="center"/>
                              <w:hideMark/>
                            </w:tcPr>
                            <w:p w:rsidR="007C045F" w:rsidRDefault="007C045F">
                              <w:pPr>
                                <w:spacing w:line="150" w:lineRule="exact"/>
                                <w:rPr>
                                  <w:rFonts w:eastAsia="Times New Roman"/>
                                  <w:sz w:val="15"/>
                                  <w:szCs w:val="15"/>
                                </w:rPr>
                              </w:pPr>
                              <w:r>
                                <w:rPr>
                                  <w:rFonts w:eastAsia="Times New Roman"/>
                                  <w:sz w:val="15"/>
                                  <w:szCs w:val="15"/>
                                </w:rPr>
                                <w:t xml:space="preserve">  </w:t>
                              </w:r>
                            </w:p>
                          </w:tc>
                        </w:tr>
                      </w:tbl>
                      <w:p w:rsidR="007C045F" w:rsidRDefault="007C045F">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7C045F">
                          <w:trPr>
                            <w:hidden/>
                          </w:trPr>
                          <w:tc>
                            <w:tcPr>
                              <w:tcW w:w="150" w:type="dxa"/>
                              <w:shd w:val="clear" w:color="auto" w:fill="FFFFFF"/>
                              <w:vAlign w:val="center"/>
                              <w:hideMark/>
                            </w:tcPr>
                            <w:p w:rsidR="007C045F" w:rsidRDefault="007C045F">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C04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C04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C045F">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7C045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7C045F">
                                                        <w:tc>
                                                          <w:tcPr>
                                                            <w:tcW w:w="0" w:type="auto"/>
                                                            <w:vAlign w:val="center"/>
                                                            <w:hideMark/>
                                                          </w:tcPr>
                                                          <w:p w:rsidR="007C045F" w:rsidRDefault="007C045F">
                                                            <w:pPr>
                                                              <w:spacing w:line="0" w:lineRule="atLeast"/>
                                                              <w:rPr>
                                                                <w:rFonts w:eastAsia="Times New Roman"/>
                                                                <w:sz w:val="2"/>
                                                                <w:szCs w:val="2"/>
                                                              </w:rPr>
                                                            </w:pPr>
                                                            <w:r>
                                                              <w:rPr>
                                                                <w:rFonts w:eastAsia="Times New Roman"/>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7C045F" w:rsidRDefault="007C045F">
                                                      <w:pPr>
                                                        <w:rPr>
                                                          <w:rFonts w:eastAsia="Times New Roman"/>
                                                          <w:sz w:val="20"/>
                                                          <w:szCs w:val="20"/>
                                                        </w:rPr>
                                                      </w:pPr>
                                                      <w:r>
                                                        <w:rPr>
                                                          <w:noProof/>
                                                        </w:rPr>
                                                        <w:drawing>
                                                          <wp:anchor distT="0" distB="0" distL="114300" distR="114300" simplePos="0" relativeHeight="251659264" behindDoc="0" locked="0" layoutInCell="1" allowOverlap="1" wp14:anchorId="67E69808" wp14:editId="146369D6">
                                                            <wp:simplePos x="0" y="0"/>
                                                            <wp:positionH relativeFrom="column">
                                                              <wp:posOffset>2296795</wp:posOffset>
                                                            </wp:positionH>
                                                            <wp:positionV relativeFrom="paragraph">
                                                              <wp:posOffset>847725</wp:posOffset>
                                                            </wp:positionV>
                                                            <wp:extent cx="1633855" cy="1130300"/>
                                                            <wp:effectExtent l="0" t="0" r="4445" b="0"/>
                                                            <wp:wrapNone/>
                                                            <wp:docPr id="10" name="Image 10" descr="B57BA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57BA0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1130300"/>
                                                                    </a:xfrm>
                                                                    <a:prstGeom prst="rect">
                                                                      <a:avLst/>
                                                                    </a:prstGeom>
                                                                    <a:noFill/>
                                                                  </pic:spPr>
                                                                </pic:pic>
                                                              </a:graphicData>
                                                            </a:graphic>
                                                            <wp14:sizeRelH relativeFrom="page">
                                                              <wp14:pctWidth>0</wp14:pctWidth>
                                                            </wp14:sizeRelH>
                                                            <wp14:sizeRelV relativeFrom="page">
                                                              <wp14:pctHeight>0</wp14:pctHeight>
                                                            </wp14:sizeRelV>
                                                          </wp:anchor>
                                                        </w:drawing>
                                                      </w:r>
                                                    </w:p>
                                                  </w:tc>
                                                </w:tr>
                                              </w:tbl>
                                              <w:p w:rsidR="007C045F" w:rsidRDefault="007C045F">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7C045F">
                                                  <w:trPr>
                                                    <w:trHeight w:val="300"/>
                                                    <w:jc w:val="center"/>
                                                  </w:trPr>
                                                  <w:tc>
                                                    <w:tcPr>
                                                      <w:tcW w:w="0" w:type="auto"/>
                                                      <w:vAlign w:val="center"/>
                                                      <w:hideMark/>
                                                    </w:tcPr>
                                                    <w:p w:rsidR="007C045F" w:rsidRDefault="007C045F">
                                                      <w:pPr>
                                                        <w:spacing w:line="300" w:lineRule="exact"/>
                                                        <w:rPr>
                                                          <w:rFonts w:eastAsia="Times New Roman"/>
                                                          <w:sz w:val="30"/>
                                                          <w:szCs w:val="30"/>
                                                        </w:rPr>
                                                      </w:pPr>
                                                      <w:r>
                                                        <w:rPr>
                                                          <w:rFonts w:eastAsia="Times New Roman"/>
                                                          <w:sz w:val="30"/>
                                                          <w:szCs w:val="30"/>
                                                        </w:rPr>
                                                        <w:t xml:space="preserve">  </w:t>
                                                      </w:r>
                                                    </w:p>
                                                  </w:tc>
                                                </w:tr>
                                              </w:tbl>
                                              <w:p w:rsidR="007C045F" w:rsidRDefault="007C045F">
                                                <w:pPr>
                                                  <w:jc w:val="center"/>
                                                  <w:rPr>
                                                    <w:rFonts w:eastAsia="Times New Roman"/>
                                                    <w:sz w:val="20"/>
                                                    <w:szCs w:val="20"/>
                                                  </w:rPr>
                                                </w:pPr>
                                              </w:p>
                                            </w:tc>
                                          </w:tr>
                                        </w:tbl>
                                        <w:p w:rsidR="007C045F" w:rsidRDefault="007C045F">
                                          <w:pPr>
                                            <w:rPr>
                                              <w:rFonts w:eastAsia="Times New Roman"/>
                                              <w:sz w:val="20"/>
                                              <w:szCs w:val="20"/>
                                            </w:rPr>
                                          </w:pPr>
                                        </w:p>
                                      </w:tc>
                                    </w:tr>
                                  </w:tbl>
                                  <w:p w:rsidR="007C045F" w:rsidRDefault="007C045F">
                                    <w:pPr>
                                      <w:jc w:val="center"/>
                                      <w:rPr>
                                        <w:rFonts w:eastAsia="Times New Roman"/>
                                        <w:sz w:val="20"/>
                                        <w:szCs w:val="20"/>
                                      </w:rPr>
                                    </w:pPr>
                                  </w:p>
                                </w:tc>
                              </w:tr>
                            </w:tbl>
                            <w:p w:rsidR="007C045F" w:rsidRDefault="007C045F">
                              <w:pPr>
                                <w:jc w:val="center"/>
                                <w:rPr>
                                  <w:rFonts w:eastAsia="Times New Roman"/>
                                  <w:sz w:val="20"/>
                                  <w:szCs w:val="20"/>
                                </w:rPr>
                              </w:pPr>
                            </w:p>
                          </w:tc>
                          <w:tc>
                            <w:tcPr>
                              <w:tcW w:w="150" w:type="dxa"/>
                              <w:shd w:val="clear" w:color="auto" w:fill="FFFFFF"/>
                              <w:vAlign w:val="center"/>
                              <w:hideMark/>
                            </w:tcPr>
                            <w:p w:rsidR="007C045F" w:rsidRDefault="007C045F">
                              <w:pPr>
                                <w:rPr>
                                  <w:rFonts w:eastAsia="Times New Roman"/>
                                  <w:sz w:val="20"/>
                                  <w:szCs w:val="20"/>
                                </w:rPr>
                              </w:pPr>
                            </w:p>
                          </w:tc>
                        </w:tr>
                      </w:tbl>
                      <w:p w:rsidR="007C045F" w:rsidRDefault="007C045F">
                        <w:pPr>
                          <w:rPr>
                            <w:rFonts w:eastAsia="Times New Roman"/>
                            <w:sz w:val="20"/>
                            <w:szCs w:val="20"/>
                          </w:rPr>
                        </w:pPr>
                      </w:p>
                    </w:tc>
                  </w:tr>
                </w:tbl>
                <w:p w:rsidR="007C045F" w:rsidRDefault="007C045F">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7C045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C045F">
                          <w:tc>
                            <w:tcPr>
                              <w:tcW w:w="150" w:type="dxa"/>
                              <w:shd w:val="clear" w:color="auto" w:fill="FFFFFF"/>
                              <w:vAlign w:val="center"/>
                              <w:hideMark/>
                            </w:tcPr>
                            <w:p w:rsidR="007C045F" w:rsidRDefault="007C045F">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C04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C04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C045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C045F">
                                                  <w:tc>
                                                    <w:tcPr>
                                                      <w:tcW w:w="0" w:type="auto"/>
                                                      <w:vAlign w:val="center"/>
                                                    </w:tcPr>
                                                    <w:p w:rsidR="007C045F" w:rsidRDefault="007C045F">
                                                      <w:pPr>
                                                        <w:pStyle w:val="NormalWeb"/>
                                                        <w:spacing w:before="0" w:beforeAutospacing="0" w:after="0" w:afterAutospacing="0" w:line="390" w:lineRule="exact"/>
                                                        <w:jc w:val="center"/>
                                                        <w:rPr>
                                                          <w:rStyle w:val="lev"/>
                                                          <w:rFonts w:ascii="Arial" w:hAnsi="Arial" w:cs="Arial"/>
                                                          <w:color w:val="000000"/>
                                                        </w:rPr>
                                                      </w:pPr>
                                                    </w:p>
                                                  </w:tc>
                                                </w:tr>
                                                <w:tr w:rsidR="007C045F">
                                                  <w:tc>
                                                    <w:tcPr>
                                                      <w:tcW w:w="0" w:type="auto"/>
                                                      <w:vAlign w:val="center"/>
                                                      <w:hideMark/>
                                                    </w:tcPr>
                                                    <w:p w:rsidR="007C045F" w:rsidRDefault="007C045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7C045F">
                                                  <w:trPr>
                                                    <w:trHeight w:val="300"/>
                                                    <w:jc w:val="center"/>
                                                  </w:trPr>
                                                  <w:tc>
                                                    <w:tcPr>
                                                      <w:tcW w:w="0" w:type="auto"/>
                                                      <w:vAlign w:val="center"/>
                                                      <w:hideMark/>
                                                    </w:tcPr>
                                                    <w:p w:rsidR="007C045F" w:rsidRDefault="007C045F">
                                                      <w:pPr>
                                                        <w:spacing w:line="300" w:lineRule="exact"/>
                                                        <w:rPr>
                                                          <w:rFonts w:eastAsia="Times New Roman"/>
                                                          <w:sz w:val="30"/>
                                                          <w:szCs w:val="30"/>
                                                        </w:rPr>
                                                      </w:pPr>
                                                      <w:r>
                                                        <w:rPr>
                                                          <w:rFonts w:eastAsia="Times New Roman"/>
                                                          <w:sz w:val="30"/>
                                                          <w:szCs w:val="30"/>
                                                        </w:rPr>
                                                        <w:t xml:space="preserve">  </w:t>
                                                      </w:r>
                                                    </w:p>
                                                  </w:tc>
                                                </w:tr>
                                              </w:tbl>
                                              <w:p w:rsidR="007C045F" w:rsidRDefault="007C045F">
                                                <w:pPr>
                                                  <w:jc w:val="center"/>
                                                  <w:rPr>
                                                    <w:rFonts w:eastAsia="Times New Roman"/>
                                                    <w:sz w:val="20"/>
                                                    <w:szCs w:val="20"/>
                                                  </w:rPr>
                                                </w:pPr>
                                              </w:p>
                                            </w:tc>
                                          </w:tr>
                                        </w:tbl>
                                        <w:p w:rsidR="007C045F" w:rsidRDefault="007C045F">
                                          <w:pPr>
                                            <w:rPr>
                                              <w:rFonts w:eastAsia="Times New Roman"/>
                                              <w:sz w:val="20"/>
                                              <w:szCs w:val="20"/>
                                            </w:rPr>
                                          </w:pPr>
                                        </w:p>
                                      </w:tc>
                                    </w:tr>
                                  </w:tbl>
                                  <w:p w:rsidR="007C045F" w:rsidRDefault="007C045F">
                                    <w:pPr>
                                      <w:jc w:val="center"/>
                                      <w:rPr>
                                        <w:rFonts w:eastAsia="Times New Roman"/>
                                        <w:sz w:val="20"/>
                                        <w:szCs w:val="20"/>
                                      </w:rPr>
                                    </w:pPr>
                                  </w:p>
                                </w:tc>
                              </w:tr>
                            </w:tbl>
                            <w:p w:rsidR="007C045F" w:rsidRDefault="007C045F">
                              <w:pPr>
                                <w:jc w:val="center"/>
                                <w:rPr>
                                  <w:rFonts w:eastAsia="Times New Roman"/>
                                  <w:sz w:val="20"/>
                                  <w:szCs w:val="20"/>
                                </w:rPr>
                              </w:pPr>
                            </w:p>
                          </w:tc>
                          <w:tc>
                            <w:tcPr>
                              <w:tcW w:w="150" w:type="dxa"/>
                              <w:shd w:val="clear" w:color="auto" w:fill="FFFFFF"/>
                              <w:vAlign w:val="center"/>
                              <w:hideMark/>
                            </w:tcPr>
                            <w:p w:rsidR="007C045F" w:rsidRDefault="007C045F">
                              <w:pPr>
                                <w:rPr>
                                  <w:rFonts w:eastAsia="Times New Roman"/>
                                  <w:sz w:val="20"/>
                                  <w:szCs w:val="20"/>
                                </w:rPr>
                              </w:pPr>
                            </w:p>
                          </w:tc>
                        </w:tr>
                      </w:tbl>
                      <w:p w:rsidR="007C045F" w:rsidRDefault="007C045F">
                        <w:pPr>
                          <w:rPr>
                            <w:rFonts w:eastAsia="Times New Roman"/>
                            <w:sz w:val="20"/>
                            <w:szCs w:val="20"/>
                          </w:rPr>
                        </w:pPr>
                      </w:p>
                    </w:tc>
                  </w:tr>
                  <w:tr w:rsidR="007C045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C045F">
                          <w:tc>
                            <w:tcPr>
                              <w:tcW w:w="150" w:type="dxa"/>
                              <w:shd w:val="clear" w:color="auto" w:fill="FFFFFF"/>
                              <w:vAlign w:val="center"/>
                              <w:hideMark/>
                            </w:tcPr>
                            <w:p w:rsidR="007C045F" w:rsidRDefault="007C045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C04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C04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C045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C045F">
                                                  <w:tc>
                                                    <w:tcPr>
                                                      <w:tcW w:w="0" w:type="auto"/>
                                                      <w:vAlign w:val="center"/>
                                                      <w:hideMark/>
                                                    </w:tcPr>
                                                    <w:p w:rsidR="007C045F" w:rsidRDefault="007C045F" w:rsidP="007C045F">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5 février 2021</w:t>
                                                      </w:r>
                                                    </w:p>
                                                  </w:tc>
                                                </w:tr>
                                              </w:tbl>
                                              <w:p w:rsidR="007C045F" w:rsidRDefault="007C045F">
                                                <w:pPr>
                                                  <w:rPr>
                                                    <w:rFonts w:eastAsia="Times New Roman"/>
                                                    <w:sz w:val="20"/>
                                                    <w:szCs w:val="20"/>
                                                  </w:rPr>
                                                </w:pPr>
                                              </w:p>
                                            </w:tc>
                                          </w:tr>
                                        </w:tbl>
                                        <w:p w:rsidR="007C045F" w:rsidRDefault="007C045F">
                                          <w:pPr>
                                            <w:rPr>
                                              <w:rFonts w:eastAsia="Times New Roman"/>
                                              <w:sz w:val="20"/>
                                              <w:szCs w:val="20"/>
                                            </w:rPr>
                                          </w:pPr>
                                        </w:p>
                                      </w:tc>
                                    </w:tr>
                                  </w:tbl>
                                  <w:p w:rsidR="007C045F" w:rsidRDefault="007C045F">
                                    <w:pPr>
                                      <w:jc w:val="center"/>
                                      <w:rPr>
                                        <w:rFonts w:eastAsia="Times New Roman"/>
                                        <w:sz w:val="20"/>
                                        <w:szCs w:val="20"/>
                                      </w:rPr>
                                    </w:pPr>
                                  </w:p>
                                </w:tc>
                              </w:tr>
                            </w:tbl>
                            <w:p w:rsidR="007C045F" w:rsidRDefault="007C045F">
                              <w:pPr>
                                <w:jc w:val="center"/>
                                <w:rPr>
                                  <w:rFonts w:eastAsia="Times New Roman"/>
                                  <w:sz w:val="20"/>
                                  <w:szCs w:val="20"/>
                                </w:rPr>
                              </w:pPr>
                            </w:p>
                          </w:tc>
                          <w:tc>
                            <w:tcPr>
                              <w:tcW w:w="150" w:type="dxa"/>
                              <w:shd w:val="clear" w:color="auto" w:fill="FFFFFF"/>
                              <w:vAlign w:val="center"/>
                              <w:hideMark/>
                            </w:tcPr>
                            <w:p w:rsidR="007C045F" w:rsidRDefault="007C045F">
                              <w:pPr>
                                <w:rPr>
                                  <w:rFonts w:eastAsia="Times New Roman"/>
                                  <w:sz w:val="20"/>
                                  <w:szCs w:val="20"/>
                                </w:rPr>
                              </w:pPr>
                            </w:p>
                          </w:tc>
                        </w:tr>
                      </w:tbl>
                      <w:p w:rsidR="007C045F" w:rsidRDefault="007C045F">
                        <w:pPr>
                          <w:rPr>
                            <w:rFonts w:eastAsia="Times New Roman"/>
                            <w:sz w:val="20"/>
                            <w:szCs w:val="20"/>
                          </w:rPr>
                        </w:pPr>
                      </w:p>
                    </w:tc>
                  </w:tr>
                </w:tbl>
                <w:p w:rsidR="007C045F" w:rsidRDefault="007C045F">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7C045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C045F">
                          <w:tc>
                            <w:tcPr>
                              <w:tcW w:w="150" w:type="dxa"/>
                              <w:shd w:val="clear" w:color="auto" w:fill="FFFFFF"/>
                              <w:vAlign w:val="center"/>
                              <w:hideMark/>
                            </w:tcPr>
                            <w:p w:rsidR="007C045F" w:rsidRDefault="007C045F">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C04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333"/>
                                      <w:gridCol w:w="2417"/>
                                    </w:tblGrid>
                                    <w:tr w:rsidR="007C045F">
                                      <w:trPr>
                                        <w:jc w:val="center"/>
                                      </w:trPr>
                                      <w:tc>
                                        <w:tcPr>
                                          <w:tcW w:w="3050" w:type="pct"/>
                                          <w:hideMark/>
                                        </w:tcPr>
                                        <w:tbl>
                                          <w:tblPr>
                                            <w:tblW w:w="7333" w:type="dxa"/>
                                            <w:tblCellMar>
                                              <w:left w:w="0" w:type="dxa"/>
                                              <w:right w:w="0" w:type="dxa"/>
                                            </w:tblCellMar>
                                            <w:tblLook w:val="04A0" w:firstRow="1" w:lastRow="0" w:firstColumn="1" w:lastColumn="0" w:noHBand="0" w:noVBand="1"/>
                                          </w:tblPr>
                                          <w:tblGrid>
                                            <w:gridCol w:w="7333"/>
                                          </w:tblGrid>
                                          <w:tr w:rsidR="007C045F" w:rsidTr="007C045F">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33"/>
                                                </w:tblGrid>
                                                <w:tr w:rsidR="007C045F">
                                                  <w:tc>
                                                    <w:tcPr>
                                                      <w:tcW w:w="0" w:type="auto"/>
                                                      <w:vAlign w:val="center"/>
                                                      <w:hideMark/>
                                                    </w:tcPr>
                                                    <w:p w:rsidR="007C045F" w:rsidRPr="007C045F" w:rsidRDefault="007C045F" w:rsidP="007C045F">
                                                      <w:pPr>
                                                        <w:jc w:val="both"/>
                                                        <w:rPr>
                                                          <w:rFonts w:cstheme="minorHAnsi"/>
                                                          <w:b/>
                                                          <w:sz w:val="28"/>
                                                          <w:szCs w:val="30"/>
                                                        </w:rPr>
                                                      </w:pPr>
                                                      <w:r w:rsidRPr="007C045F">
                                                        <w:rPr>
                                                          <w:rStyle w:val="lev"/>
                                                          <w:rFonts w:ascii="Arial" w:hAnsi="Arial" w:cs="Arial"/>
                                                          <w:color w:val="393939"/>
                                                        </w:rPr>
                                                        <w:t>Apprentissage : plus de 500 000 contrats signés en 2020, dont 495 000 dans le secteur privé. Un record historique.</w:t>
                                                      </w:r>
                                                    </w:p>
                                                  </w:tc>
                                                </w:tr>
                                              </w:tbl>
                                              <w:p w:rsidR="007C045F" w:rsidRDefault="007C045F">
                                                <w:pPr>
                                                  <w:rPr>
                                                    <w:rFonts w:eastAsia="Times New Roman"/>
                                                    <w:sz w:val="20"/>
                                                    <w:szCs w:val="20"/>
                                                  </w:rPr>
                                                </w:pPr>
                                              </w:p>
                                            </w:tc>
                                          </w:tr>
                                        </w:tbl>
                                        <w:p w:rsidR="007C045F" w:rsidRDefault="007C045F">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2417"/>
                                          </w:tblGrid>
                                          <w:tr w:rsidR="007C045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7C045F">
                                                  <w:trPr>
                                                    <w:trHeight w:val="300"/>
                                                    <w:jc w:val="center"/>
                                                  </w:trPr>
                                                  <w:tc>
                                                    <w:tcPr>
                                                      <w:tcW w:w="0" w:type="auto"/>
                                                      <w:vAlign w:val="center"/>
                                                      <w:hideMark/>
                                                    </w:tcPr>
                                                    <w:p w:rsidR="007C045F" w:rsidRDefault="007C045F">
                                                      <w:pPr>
                                                        <w:spacing w:line="300" w:lineRule="exact"/>
                                                        <w:rPr>
                                                          <w:rFonts w:eastAsia="Times New Roman"/>
                                                          <w:sz w:val="30"/>
                                                          <w:szCs w:val="30"/>
                                                        </w:rPr>
                                                      </w:pPr>
                                                      <w:r>
                                                        <w:rPr>
                                                          <w:rFonts w:eastAsia="Times New Roman"/>
                                                          <w:sz w:val="30"/>
                                                          <w:szCs w:val="30"/>
                                                        </w:rPr>
                                                        <w:t xml:space="preserve">  </w:t>
                                                      </w:r>
                                                    </w:p>
                                                  </w:tc>
                                                </w:tr>
                                              </w:tbl>
                                              <w:p w:rsidR="007C045F" w:rsidRDefault="007C045F">
                                                <w:pPr>
                                                  <w:jc w:val="center"/>
                                                  <w:rPr>
                                                    <w:rFonts w:eastAsia="Times New Roman"/>
                                                    <w:sz w:val="20"/>
                                                    <w:szCs w:val="20"/>
                                                  </w:rPr>
                                                </w:pPr>
                                              </w:p>
                                            </w:tc>
                                          </w:tr>
                                        </w:tbl>
                                        <w:p w:rsidR="007C045F" w:rsidRDefault="007C045F">
                                          <w:pPr>
                                            <w:rPr>
                                              <w:rFonts w:eastAsia="Times New Roman"/>
                                              <w:sz w:val="20"/>
                                              <w:szCs w:val="20"/>
                                            </w:rPr>
                                          </w:pPr>
                                        </w:p>
                                      </w:tc>
                                    </w:tr>
                                  </w:tbl>
                                  <w:p w:rsidR="007C045F" w:rsidRDefault="007C045F">
                                    <w:pPr>
                                      <w:jc w:val="center"/>
                                      <w:rPr>
                                        <w:rFonts w:eastAsia="Times New Roman"/>
                                        <w:sz w:val="20"/>
                                        <w:szCs w:val="20"/>
                                      </w:rPr>
                                    </w:pPr>
                                  </w:p>
                                </w:tc>
                              </w:tr>
                            </w:tbl>
                            <w:p w:rsidR="007C045F" w:rsidRDefault="007C045F">
                              <w:pPr>
                                <w:jc w:val="center"/>
                                <w:rPr>
                                  <w:rFonts w:eastAsia="Times New Roman"/>
                                  <w:sz w:val="20"/>
                                  <w:szCs w:val="20"/>
                                </w:rPr>
                              </w:pPr>
                            </w:p>
                          </w:tc>
                          <w:tc>
                            <w:tcPr>
                              <w:tcW w:w="150" w:type="dxa"/>
                              <w:shd w:val="clear" w:color="auto" w:fill="FFFFFF"/>
                              <w:vAlign w:val="center"/>
                              <w:hideMark/>
                            </w:tcPr>
                            <w:p w:rsidR="007C045F" w:rsidRDefault="007C045F">
                              <w:pPr>
                                <w:rPr>
                                  <w:rFonts w:eastAsia="Times New Roman"/>
                                  <w:sz w:val="20"/>
                                  <w:szCs w:val="20"/>
                                </w:rPr>
                              </w:pPr>
                            </w:p>
                          </w:tc>
                        </w:tr>
                      </w:tbl>
                      <w:p w:rsidR="007C045F" w:rsidRDefault="007C045F">
                        <w:pPr>
                          <w:rPr>
                            <w:rFonts w:eastAsia="Times New Roman"/>
                            <w:sz w:val="20"/>
                            <w:szCs w:val="20"/>
                          </w:rPr>
                        </w:pPr>
                      </w:p>
                    </w:tc>
                  </w:tr>
                  <w:tr w:rsidR="007C045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C045F" w:rsidRPr="007C045F">
                          <w:tc>
                            <w:tcPr>
                              <w:tcW w:w="150" w:type="dxa"/>
                              <w:shd w:val="clear" w:color="auto" w:fill="FFFFFF"/>
                              <w:vAlign w:val="center"/>
                              <w:hideMark/>
                            </w:tcPr>
                            <w:p w:rsidR="007C045F" w:rsidRPr="007C045F" w:rsidRDefault="007C045F">
                              <w:pPr>
                                <w:rPr>
                                  <w:rFonts w:ascii="Arial" w:eastAsia="Times New Roman" w:hAnsi="Arial" w:cs="Arial"/>
                                  <w:sz w:val="21"/>
                                  <w:szCs w:val="21"/>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C045F" w:rsidRPr="007C04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C045F" w:rsidRPr="007C04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C045F" w:rsidRPr="007C045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C045F" w:rsidRPr="007C045F">
                                                  <w:tc>
                                                    <w:tcPr>
                                                      <w:tcW w:w="0" w:type="auto"/>
                                                      <w:vAlign w:val="center"/>
                                                      <w:hideMark/>
                                                    </w:tcPr>
                                                    <w:p w:rsidR="007C045F" w:rsidRDefault="007C045F" w:rsidP="007C045F">
                                                      <w:pPr>
                                                        <w:jc w:val="both"/>
                                                        <w:rPr>
                                                          <w:rFonts w:ascii="Arial" w:hAnsi="Arial" w:cs="Arial"/>
                                                          <w:b/>
                                                          <w:sz w:val="21"/>
                                                          <w:szCs w:val="21"/>
                                                        </w:rPr>
                                                      </w:pPr>
                                                      <w:r w:rsidRPr="007C045F">
                                                        <w:rPr>
                                                          <w:rFonts w:ascii="Arial" w:hAnsi="Arial" w:cs="Arial"/>
                                                          <w:b/>
                                                          <w:sz w:val="21"/>
                                                          <w:szCs w:val="21"/>
                                                        </w:rPr>
                                                        <w:t>Porté par la réforme de 2018 et le plan « 1 jeune, 1 solution » lancé en juillet dernier pour aider les jeunes dans la crise, l’apprentissage a connu une hausse de 40% en 2020 dans le secteur privé. En ajoutant les contrats signés dans la fonction publique, la France passe, pour la première fois, la barre des 500 000 apprentis. Une année historique malgré la crise.</w:t>
                                                      </w:r>
                                                    </w:p>
                                                    <w:p w:rsidR="007C045F" w:rsidRPr="007C045F" w:rsidRDefault="007C045F" w:rsidP="007C045F">
                                                      <w:pPr>
                                                        <w:jc w:val="both"/>
                                                        <w:rPr>
                                                          <w:rFonts w:ascii="Arial" w:hAnsi="Arial" w:cs="Arial"/>
                                                          <w:b/>
                                                          <w:sz w:val="21"/>
                                                          <w:szCs w:val="21"/>
                                                        </w:rPr>
                                                      </w:pPr>
                                                    </w:p>
                                                    <w:p w:rsidR="007C045F" w:rsidRDefault="007C045F" w:rsidP="007C045F">
                                                      <w:pPr>
                                                        <w:jc w:val="both"/>
                                                        <w:rPr>
                                                          <w:rFonts w:ascii="Arial" w:hAnsi="Arial" w:cs="Arial"/>
                                                          <w:sz w:val="21"/>
                                                          <w:szCs w:val="21"/>
                                                        </w:rPr>
                                                      </w:pPr>
                                                      <w:r w:rsidRPr="007C045F">
                                                        <w:rPr>
                                                          <w:rFonts w:ascii="Arial" w:hAnsi="Arial" w:cs="Arial"/>
                                                          <w:sz w:val="21"/>
                                                          <w:szCs w:val="21"/>
                                                        </w:rPr>
                                                        <w:t xml:space="preserve">Avec 495 000 contrats signés en entreprise en 2020 contre 353 000 en 2019, qui était déjà une très bonne année, </w:t>
                                                      </w:r>
                                                      <w:r w:rsidRPr="007C045F">
                                                        <w:rPr>
                                                          <w:rFonts w:ascii="Arial" w:hAnsi="Arial" w:cs="Arial"/>
                                                          <w:b/>
                                                          <w:sz w:val="21"/>
                                                          <w:szCs w:val="21"/>
                                                        </w:rPr>
                                                        <w:t>l’apprentissage a connu une croissance de 40%,</w:t>
                                                      </w:r>
                                                      <w:r w:rsidRPr="007C045F">
                                                        <w:rPr>
                                                          <w:rFonts w:ascii="Arial" w:hAnsi="Arial" w:cs="Arial"/>
                                                          <w:sz w:val="21"/>
                                                          <w:szCs w:val="21"/>
                                                        </w:rPr>
                                                        <w:t xml:space="preserve"> avec une progression homogène sur l’ensemble des territoires. Bien que cette hausse traduise pour partie un rééquilibrage entre apprentissage et contrat de professionnalisation, on peut estimer qu’il y a eu création nette en 2020 de 60 000 places supplémentaires en alternance, sous la forme de contrats d’apprentissage</w:t>
                                                      </w:r>
                                                      <w:r>
                                                        <w:rPr>
                                                          <w:rFonts w:ascii="Arial" w:hAnsi="Arial" w:cs="Arial"/>
                                                          <w:sz w:val="21"/>
                                                          <w:szCs w:val="21"/>
                                                        </w:rPr>
                                                        <w:t>.</w:t>
                                                      </w:r>
                                                    </w:p>
                                                    <w:p w:rsidR="007C045F" w:rsidRPr="007C045F" w:rsidRDefault="007C045F" w:rsidP="007C045F">
                                                      <w:pPr>
                                                        <w:jc w:val="both"/>
                                                        <w:rPr>
                                                          <w:rFonts w:ascii="Arial" w:hAnsi="Arial" w:cs="Arial"/>
                                                          <w:sz w:val="21"/>
                                                          <w:szCs w:val="21"/>
                                                        </w:rPr>
                                                      </w:pPr>
                                                    </w:p>
                                                    <w:p w:rsidR="007C045F" w:rsidRDefault="007C045F" w:rsidP="007C045F">
                                                      <w:pPr>
                                                        <w:jc w:val="both"/>
                                                        <w:rPr>
                                                          <w:rFonts w:ascii="Arial" w:hAnsi="Arial" w:cs="Arial"/>
                                                          <w:sz w:val="21"/>
                                                          <w:szCs w:val="21"/>
                                                        </w:rPr>
                                                      </w:pPr>
                                                      <w:r w:rsidRPr="007C045F">
                                                        <w:rPr>
                                                          <w:rFonts w:ascii="Arial" w:hAnsi="Arial" w:cs="Arial"/>
                                                          <w:b/>
                                                          <w:sz w:val="21"/>
                                                          <w:szCs w:val="21"/>
                                                        </w:rPr>
                                                        <w:t>Cet accroissement témoigne d’une réelle mobilisation des entreprises</w:t>
                                                      </w:r>
                                                      <w:r w:rsidRPr="007C045F">
                                                        <w:rPr>
                                                          <w:rFonts w:ascii="Arial" w:hAnsi="Arial" w:cs="Arial"/>
                                                          <w:sz w:val="21"/>
                                                          <w:szCs w:val="21"/>
                                                        </w:rPr>
                                                        <w:t>, encouragées à recruter des apprentis grâce aux aides du plan « 1 jeune, 1 solution » qui prévoient une prime de 5000 euros pour l’embauche d’un apprenti mineur et de 8000 euros pour l’embauche d’un apprenti majeur, jusqu’au 31 mars 2021. A date, plus de 400 000 demandes de prime ont été déposées par les entreprises.</w:t>
                                                      </w:r>
                                                    </w:p>
                                                    <w:p w:rsidR="007C045F" w:rsidRPr="007C045F" w:rsidRDefault="007C045F" w:rsidP="007C045F">
                                                      <w:pPr>
                                                        <w:jc w:val="both"/>
                                                        <w:rPr>
                                                          <w:rFonts w:ascii="Arial" w:hAnsi="Arial" w:cs="Arial"/>
                                                          <w:sz w:val="21"/>
                                                          <w:szCs w:val="21"/>
                                                        </w:rPr>
                                                      </w:pPr>
                                                    </w:p>
                                                    <w:p w:rsidR="007C045F" w:rsidRPr="007C045F" w:rsidRDefault="007C045F" w:rsidP="007C045F">
                                                      <w:pPr>
                                                        <w:pStyle w:val="Corpsdetexte"/>
                                                        <w:spacing w:line="276" w:lineRule="auto"/>
                                                        <w:rPr>
                                                          <w:sz w:val="21"/>
                                                          <w:szCs w:val="21"/>
                                                        </w:rPr>
                                                      </w:pPr>
                                                      <w:r w:rsidRPr="007C045F">
                                                        <w:rPr>
                                                          <w:b/>
                                                          <w:sz w:val="21"/>
                                                          <w:szCs w:val="21"/>
                                                        </w:rPr>
                                                        <w:t>Si toutes les entreprises sont concernées par cette croissance</w:t>
                                                      </w:r>
                                                      <w:r w:rsidRPr="007C045F">
                                                        <w:rPr>
                                                          <w:sz w:val="21"/>
                                                          <w:szCs w:val="21"/>
                                                        </w:rPr>
                                                        <w:t>, les primes du plan « 1 jeune, 1 solution » ont joué un rôle déterminant pour permettre aux TPE-PME de maintenir leur poids prépondérant dans l’apprentissage, puisqu’elles représentent plus des 3/4 des contrats signés.</w:t>
                                                      </w:r>
                                                    </w:p>
                                                    <w:p w:rsidR="007C045F" w:rsidRPr="007C045F" w:rsidRDefault="007C045F" w:rsidP="007C045F">
                                                      <w:pPr>
                                                        <w:pStyle w:val="Corpsdetexte"/>
                                                        <w:spacing w:line="276" w:lineRule="auto"/>
                                                        <w:rPr>
                                                          <w:sz w:val="21"/>
                                                          <w:szCs w:val="21"/>
                                                        </w:rPr>
                                                      </w:pPr>
                                                    </w:p>
                                                    <w:p w:rsidR="007C045F" w:rsidRPr="007C045F" w:rsidRDefault="007C045F" w:rsidP="007C045F">
                                                      <w:pPr>
                                                        <w:pStyle w:val="Corpsdetexte"/>
                                                        <w:spacing w:line="276" w:lineRule="auto"/>
                                                        <w:rPr>
                                                          <w:sz w:val="21"/>
                                                          <w:szCs w:val="21"/>
                                                        </w:rPr>
                                                      </w:pPr>
                                                      <w:r w:rsidRPr="007C045F">
                                                        <w:rPr>
                                                          <w:b/>
                                                          <w:sz w:val="21"/>
                                                          <w:szCs w:val="21"/>
                                                        </w:rPr>
                                                        <w:t>S’agissant des secteurs</w:t>
                                                      </w:r>
                                                      <w:r w:rsidRPr="007C045F">
                                                        <w:rPr>
                                                          <w:sz w:val="21"/>
                                                          <w:szCs w:val="21"/>
                                                        </w:rPr>
                                                        <w:t>, on observe un développement important de l’apprentissage dans les commerce</w:t>
                                                      </w:r>
                                                      <w:r w:rsidR="00B87906">
                                                        <w:rPr>
                                                          <w:sz w:val="21"/>
                                                          <w:szCs w:val="21"/>
                                                        </w:rPr>
                                                        <w:t>s</w:t>
                                                      </w:r>
                                                      <w:bookmarkStart w:id="1" w:name="_GoBack"/>
                                                      <w:bookmarkEnd w:id="1"/>
                                                      <w:r w:rsidRPr="007C045F">
                                                        <w:rPr>
                                                          <w:sz w:val="21"/>
                                                          <w:szCs w:val="21"/>
                                                        </w:rPr>
                                                        <w:t xml:space="preserve"> de gros et de détail et dans les services ainsi qu’un maintien des secteurs historiques de l’apprentissage tels que le BTP, l’industrie et l’artisanat et ce malgré l’impact de la crise sanitaire et économique sur ces secteurs. </w:t>
                                                      </w:r>
                                                    </w:p>
                                                    <w:p w:rsidR="007C045F" w:rsidRPr="007C045F" w:rsidRDefault="007C045F" w:rsidP="007C045F">
                                                      <w:pPr>
                                                        <w:pStyle w:val="Corpsdetexte"/>
                                                        <w:spacing w:line="276" w:lineRule="auto"/>
                                                        <w:rPr>
                                                          <w:sz w:val="21"/>
                                                          <w:szCs w:val="21"/>
                                                        </w:rPr>
                                                      </w:pPr>
                                                    </w:p>
                                                    <w:p w:rsidR="007C045F" w:rsidRPr="007C045F" w:rsidRDefault="007C045F" w:rsidP="007C045F">
                                                      <w:pPr>
                                                        <w:pStyle w:val="Corpsdetexte"/>
                                                        <w:spacing w:line="276" w:lineRule="auto"/>
                                                        <w:rPr>
                                                          <w:sz w:val="21"/>
                                                          <w:szCs w:val="21"/>
                                                        </w:rPr>
                                                      </w:pPr>
                                                      <w:r w:rsidRPr="007C045F">
                                                        <w:rPr>
                                                          <w:b/>
                                                          <w:sz w:val="21"/>
                                                          <w:szCs w:val="21"/>
                                                        </w:rPr>
                                                        <w:t xml:space="preserve">La progression de l’apprentissage en 2020 est tirée par l’enseignement supérieur, et notamment pour partie par les qualifications de niveau bac+2, </w:t>
                                                      </w:r>
                                                      <w:r w:rsidRPr="007C045F">
                                                        <w:rPr>
                                                          <w:sz w:val="21"/>
                                                          <w:szCs w:val="21"/>
                                                        </w:rPr>
                                                        <w:t xml:space="preserve">qui représentent de l’ordre de </w:t>
                                                      </w:r>
                                                      <w:r w:rsidRPr="007C045F">
                                                        <w:rPr>
                                                          <w:sz w:val="21"/>
                                                          <w:szCs w:val="21"/>
                                                        </w:rPr>
                                                        <w:lastRenderedPageBreak/>
                                                        <w:t>22 % des contrats. De nouvelles entreprises ont donc recours à l’apprentissage et de nouveaux profils de jeunes y adhèrent, témoignant d’une meilleure reconnaissance de l’apprentissage dans la société pour permettre de se former à tout niveau de diplôme.</w:t>
                                                      </w:r>
                                                    </w:p>
                                                    <w:p w:rsidR="007C045F" w:rsidRPr="007C045F" w:rsidRDefault="007C045F" w:rsidP="007C045F">
                                                      <w:pPr>
                                                        <w:pStyle w:val="Corpsdetexte"/>
                                                        <w:spacing w:line="276" w:lineRule="auto"/>
                                                        <w:rPr>
                                                          <w:sz w:val="21"/>
                                                          <w:szCs w:val="21"/>
                                                        </w:rPr>
                                                      </w:pPr>
                                                    </w:p>
                                                    <w:p w:rsidR="007C045F" w:rsidRPr="007C045F" w:rsidRDefault="007C045F" w:rsidP="001F68BF">
                                                      <w:pPr>
                                                        <w:spacing w:line="276" w:lineRule="auto"/>
                                                        <w:jc w:val="both"/>
                                                        <w:rPr>
                                                          <w:rFonts w:ascii="Arial" w:hAnsi="Arial" w:cs="Arial"/>
                                                          <w:b/>
                                                          <w:bCs/>
                                                          <w:sz w:val="21"/>
                                                          <w:szCs w:val="21"/>
                                                        </w:rPr>
                                                      </w:pPr>
                                                      <w:r w:rsidRPr="007C045F">
                                                        <w:rPr>
                                                          <w:rFonts w:ascii="Arial" w:hAnsi="Arial" w:cs="Arial"/>
                                                          <w:bCs/>
                                                          <w:sz w:val="21"/>
                                                          <w:szCs w:val="21"/>
                                                        </w:rPr>
                                                        <w:t xml:space="preserve"> « </w:t>
                                                      </w:r>
                                                      <w:r w:rsidRPr="007C045F">
                                                        <w:rPr>
                                                          <w:rFonts w:ascii="Arial" w:hAnsi="Arial" w:cs="Arial"/>
                                                          <w:bCs/>
                                                          <w:i/>
                                                          <w:sz w:val="21"/>
                                                          <w:szCs w:val="21"/>
                                                        </w:rPr>
                                                        <w:t xml:space="preserve">Ce résultat historique de l’apprentissage est le fruit de la mobilisation exceptionnelle des entreprises et des centres de formation d’apprentis dans toute la France. Depuis 2017, l’apprentissage est au cœur de l’engagement du président de la République pour l’emploi des jeunes. Cette mobilisation générale doit se poursuivre pour que les résultats obtenus en 2020 </w:t>
                                                      </w:r>
                                                      <w:r w:rsidR="001F68BF">
                                                        <w:rPr>
                                                          <w:rFonts w:ascii="Arial" w:hAnsi="Arial" w:cs="Arial"/>
                                                          <w:bCs/>
                                                          <w:i/>
                                                          <w:sz w:val="21"/>
                                                          <w:szCs w:val="21"/>
                                                        </w:rPr>
                                                        <w:t>deviennent la norme et que l’apprentissage continue à être une voie d’accès privilégiée à l’emploi pour les jeunes</w:t>
                                                      </w:r>
                                                      <w:r w:rsidRPr="007C045F">
                                                        <w:rPr>
                                                          <w:rFonts w:ascii="Arial" w:hAnsi="Arial" w:cs="Arial"/>
                                                          <w:bCs/>
                                                          <w:sz w:val="21"/>
                                                          <w:szCs w:val="21"/>
                                                        </w:rPr>
                                                        <w:t xml:space="preserve"> » </w:t>
                                                      </w:r>
                                                      <w:r w:rsidRPr="007C045F">
                                                        <w:rPr>
                                                          <w:rFonts w:ascii="Arial" w:hAnsi="Arial" w:cs="Arial"/>
                                                          <w:b/>
                                                          <w:bCs/>
                                                          <w:sz w:val="21"/>
                                                          <w:szCs w:val="21"/>
                                                        </w:rPr>
                                                        <w:t>déclare Elisabeth Borne, ministre du Travail, de l’Emploi et de l’Insertion.</w:t>
                                                      </w:r>
                                                    </w:p>
                                                  </w:tc>
                                                </w:tr>
                                                <w:tr w:rsidR="007C045F" w:rsidRPr="007C045F">
                                                  <w:tc>
                                                    <w:tcPr>
                                                      <w:tcW w:w="0" w:type="auto"/>
                                                      <w:vAlign w:val="center"/>
                                                    </w:tcPr>
                                                    <w:p w:rsidR="007C045F" w:rsidRPr="007C045F" w:rsidRDefault="007C045F" w:rsidP="007C045F">
                                                      <w:pPr>
                                                        <w:jc w:val="both"/>
                                                        <w:rPr>
                                                          <w:rFonts w:ascii="Arial" w:hAnsi="Arial" w:cs="Arial"/>
                                                          <w:b/>
                                                          <w:sz w:val="21"/>
                                                          <w:szCs w:val="21"/>
                                                        </w:rPr>
                                                      </w:pPr>
                                                    </w:p>
                                                  </w:tc>
                                                </w:tr>
                                              </w:tbl>
                                              <w:tbl>
                                                <w:tblPr>
                                                  <w:tblW w:w="0" w:type="auto"/>
                                                  <w:jc w:val="center"/>
                                                  <w:tblCellMar>
                                                    <w:left w:w="0" w:type="dxa"/>
                                                    <w:right w:w="0" w:type="dxa"/>
                                                  </w:tblCellMar>
                                                  <w:tblLook w:val="04A0" w:firstRow="1" w:lastRow="0" w:firstColumn="1" w:lastColumn="0" w:noHBand="0" w:noVBand="1"/>
                                                </w:tblPr>
                                                <w:tblGrid>
                                                  <w:gridCol w:w="59"/>
                                                </w:tblGrid>
                                                <w:tr w:rsidR="007C045F" w:rsidRPr="007C045F">
                                                  <w:trPr>
                                                    <w:trHeight w:val="150"/>
                                                    <w:jc w:val="center"/>
                                                  </w:trPr>
                                                  <w:tc>
                                                    <w:tcPr>
                                                      <w:tcW w:w="0" w:type="auto"/>
                                                      <w:vAlign w:val="center"/>
                                                      <w:hideMark/>
                                                    </w:tcPr>
                                                    <w:p w:rsidR="007C045F" w:rsidRPr="007C045F" w:rsidRDefault="007C045F">
                                                      <w:pPr>
                                                        <w:spacing w:line="150" w:lineRule="exact"/>
                                                        <w:rPr>
                                                          <w:rFonts w:ascii="Arial" w:eastAsia="Times New Roman" w:hAnsi="Arial" w:cs="Arial"/>
                                                          <w:sz w:val="21"/>
                                                          <w:szCs w:val="21"/>
                                                        </w:rPr>
                                                      </w:pPr>
                                                      <w:r w:rsidRPr="007C045F">
                                                        <w:rPr>
                                                          <w:rFonts w:ascii="Arial" w:eastAsia="Times New Roman" w:hAnsi="Arial" w:cs="Arial"/>
                                                          <w:sz w:val="21"/>
                                                          <w:szCs w:val="21"/>
                                                        </w:rPr>
                                                        <w:t xml:space="preserve">  </w:t>
                                                      </w:r>
                                                    </w:p>
                                                  </w:tc>
                                                </w:tr>
                                              </w:tbl>
                                              <w:p w:rsidR="007C045F" w:rsidRPr="007C045F" w:rsidRDefault="007C045F">
                                                <w:pPr>
                                                  <w:jc w:val="center"/>
                                                  <w:rPr>
                                                    <w:rFonts w:ascii="Arial" w:eastAsia="Times New Roman" w:hAnsi="Arial" w:cs="Arial"/>
                                                    <w:sz w:val="21"/>
                                                    <w:szCs w:val="21"/>
                                                  </w:rPr>
                                                </w:pPr>
                                              </w:p>
                                            </w:tc>
                                          </w:tr>
                                        </w:tbl>
                                        <w:p w:rsidR="007C045F" w:rsidRPr="007C045F" w:rsidRDefault="007C045F">
                                          <w:pPr>
                                            <w:rPr>
                                              <w:rFonts w:ascii="Arial" w:eastAsia="Times New Roman" w:hAnsi="Arial" w:cs="Arial"/>
                                              <w:sz w:val="21"/>
                                              <w:szCs w:val="21"/>
                                            </w:rPr>
                                          </w:pPr>
                                        </w:p>
                                      </w:tc>
                                    </w:tr>
                                  </w:tbl>
                                  <w:p w:rsidR="007C045F" w:rsidRPr="007C045F" w:rsidRDefault="007C045F">
                                    <w:pPr>
                                      <w:jc w:val="center"/>
                                      <w:rPr>
                                        <w:rFonts w:ascii="Arial" w:eastAsia="Times New Roman" w:hAnsi="Arial" w:cs="Arial"/>
                                        <w:sz w:val="21"/>
                                        <w:szCs w:val="21"/>
                                      </w:rPr>
                                    </w:pPr>
                                  </w:p>
                                </w:tc>
                              </w:tr>
                            </w:tbl>
                            <w:p w:rsidR="007C045F" w:rsidRPr="007C045F" w:rsidRDefault="007C045F">
                              <w:pPr>
                                <w:jc w:val="center"/>
                                <w:rPr>
                                  <w:rFonts w:ascii="Arial" w:eastAsia="Times New Roman" w:hAnsi="Arial" w:cs="Arial"/>
                                  <w:sz w:val="21"/>
                                  <w:szCs w:val="21"/>
                                </w:rPr>
                              </w:pPr>
                            </w:p>
                          </w:tc>
                          <w:tc>
                            <w:tcPr>
                              <w:tcW w:w="150" w:type="dxa"/>
                              <w:shd w:val="clear" w:color="auto" w:fill="FFFFFF"/>
                              <w:vAlign w:val="center"/>
                              <w:hideMark/>
                            </w:tcPr>
                            <w:p w:rsidR="007C045F" w:rsidRPr="007C045F" w:rsidRDefault="007C045F">
                              <w:pPr>
                                <w:rPr>
                                  <w:rFonts w:ascii="Arial" w:eastAsia="Times New Roman" w:hAnsi="Arial" w:cs="Arial"/>
                                  <w:sz w:val="21"/>
                                  <w:szCs w:val="21"/>
                                </w:rPr>
                              </w:pPr>
                            </w:p>
                          </w:tc>
                        </w:tr>
                      </w:tbl>
                      <w:p w:rsidR="007C045F" w:rsidRPr="007C045F" w:rsidRDefault="007C045F">
                        <w:pPr>
                          <w:rPr>
                            <w:rFonts w:ascii="Arial" w:eastAsia="Times New Roman" w:hAnsi="Arial" w:cs="Arial"/>
                            <w:sz w:val="21"/>
                            <w:szCs w:val="21"/>
                          </w:rPr>
                        </w:pPr>
                      </w:p>
                    </w:tc>
                  </w:tr>
                </w:tbl>
                <w:p w:rsidR="007C045F" w:rsidRDefault="007C045F">
                  <w:pPr>
                    <w:rPr>
                      <w:rFonts w:eastAsia="Times New Roman"/>
                    </w:rPr>
                  </w:pPr>
                </w:p>
                <w:tbl>
                  <w:tblPr>
                    <w:tblW w:w="5000" w:type="pct"/>
                    <w:tblCellMar>
                      <w:left w:w="0" w:type="dxa"/>
                      <w:right w:w="0" w:type="dxa"/>
                    </w:tblCellMar>
                    <w:tblLook w:val="04A0" w:firstRow="1" w:lastRow="0" w:firstColumn="1" w:lastColumn="0" w:noHBand="0" w:noVBand="1"/>
                  </w:tblPr>
                  <w:tblGrid>
                    <w:gridCol w:w="10050"/>
                  </w:tblGrid>
                  <w:tr w:rsidR="007C045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C045F">
                          <w:tc>
                            <w:tcPr>
                              <w:tcW w:w="150" w:type="dxa"/>
                              <w:shd w:val="clear" w:color="auto" w:fill="FFFFFF"/>
                              <w:vAlign w:val="center"/>
                              <w:hideMark/>
                            </w:tcPr>
                            <w:p w:rsidR="007C045F" w:rsidRDefault="007C045F">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C04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7C045F">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7C045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7C045F">
                                                  <w:tc>
                                                    <w:tcPr>
                                                      <w:tcW w:w="0" w:type="auto"/>
                                                      <w:vAlign w:val="center"/>
                                                      <w:hideMark/>
                                                    </w:tcPr>
                                                    <w:p w:rsidR="007C045F" w:rsidRDefault="007C045F">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7C045F" w:rsidRDefault="007C045F">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7C045F" w:rsidRDefault="007C045F">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7C045F" w:rsidRDefault="007C045F">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7C045F" w:rsidRDefault="007C045F">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7" w:history="1">
                                                        <w:r>
                                                          <w:rPr>
                                                            <w:rStyle w:val="Lienhypertexte"/>
                                                            <w:rFonts w:ascii="Arial" w:hAnsi="Arial" w:cs="Arial"/>
                                                            <w:sz w:val="18"/>
                                                            <w:szCs w:val="18"/>
                                                          </w:rPr>
                                                          <w:t>sec.presse.travail@cab.travail.gouv.fr</w:t>
                                                        </w:r>
                                                      </w:hyperlink>
                                                    </w:p>
                                                  </w:tc>
                                                </w:tr>
                                              </w:tbl>
                                              <w:p w:rsidR="007C045F" w:rsidRDefault="007C045F">
                                                <w:pPr>
                                                  <w:rPr>
                                                    <w:rFonts w:eastAsia="Times New Roman"/>
                                                    <w:sz w:val="20"/>
                                                    <w:szCs w:val="20"/>
                                                  </w:rPr>
                                                </w:pPr>
                                              </w:p>
                                            </w:tc>
                                          </w:tr>
                                        </w:tbl>
                                        <w:p w:rsidR="007C045F" w:rsidRDefault="007C045F">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7C045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7C045F">
                                                  <w:trPr>
                                                    <w:trHeight w:val="960"/>
                                                    <w:jc w:val="center"/>
                                                  </w:trPr>
                                                  <w:tc>
                                                    <w:tcPr>
                                                      <w:tcW w:w="0" w:type="auto"/>
                                                      <w:vAlign w:val="center"/>
                                                      <w:hideMark/>
                                                    </w:tcPr>
                                                    <w:p w:rsidR="007C045F" w:rsidRDefault="007C045F">
                                                      <w:pPr>
                                                        <w:spacing w:line="960" w:lineRule="exact"/>
                                                        <w:rPr>
                                                          <w:rFonts w:eastAsia="Times New Roman"/>
                                                          <w:sz w:val="96"/>
                                                          <w:szCs w:val="96"/>
                                                        </w:rPr>
                                                      </w:pPr>
                                                      <w:r>
                                                        <w:rPr>
                                                          <w:rFonts w:eastAsia="Times New Roman"/>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7C045F">
                                                  <w:tc>
                                                    <w:tcPr>
                                                      <w:tcW w:w="0" w:type="auto"/>
                                                      <w:vAlign w:val="center"/>
                                                      <w:hideMark/>
                                                    </w:tcPr>
                                                    <w:p w:rsidR="007C045F" w:rsidRDefault="007C045F">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7C045F" w:rsidRDefault="007C045F">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7C045F" w:rsidRDefault="007C045F">
                                                <w:pPr>
                                                  <w:rPr>
                                                    <w:rFonts w:eastAsia="Times New Roman"/>
                                                    <w:sz w:val="20"/>
                                                    <w:szCs w:val="20"/>
                                                  </w:rPr>
                                                </w:pPr>
                                              </w:p>
                                            </w:tc>
                                          </w:tr>
                                        </w:tbl>
                                        <w:p w:rsidR="007C045F" w:rsidRDefault="007C045F">
                                          <w:pPr>
                                            <w:rPr>
                                              <w:rFonts w:eastAsia="Times New Roman"/>
                                              <w:sz w:val="20"/>
                                              <w:szCs w:val="20"/>
                                            </w:rPr>
                                          </w:pPr>
                                        </w:p>
                                      </w:tc>
                                    </w:tr>
                                  </w:tbl>
                                  <w:p w:rsidR="007C045F" w:rsidRDefault="007C045F">
                                    <w:pPr>
                                      <w:jc w:val="center"/>
                                      <w:rPr>
                                        <w:rFonts w:eastAsia="Times New Roman"/>
                                        <w:sz w:val="20"/>
                                        <w:szCs w:val="20"/>
                                      </w:rPr>
                                    </w:pPr>
                                  </w:p>
                                </w:tc>
                              </w:tr>
                            </w:tbl>
                            <w:p w:rsidR="007C045F" w:rsidRDefault="007C045F">
                              <w:pPr>
                                <w:jc w:val="center"/>
                                <w:rPr>
                                  <w:rFonts w:eastAsia="Times New Roman"/>
                                  <w:sz w:val="20"/>
                                  <w:szCs w:val="20"/>
                                </w:rPr>
                              </w:pPr>
                            </w:p>
                          </w:tc>
                          <w:tc>
                            <w:tcPr>
                              <w:tcW w:w="150" w:type="dxa"/>
                              <w:shd w:val="clear" w:color="auto" w:fill="FFFFFF"/>
                              <w:vAlign w:val="center"/>
                              <w:hideMark/>
                            </w:tcPr>
                            <w:p w:rsidR="007C045F" w:rsidRDefault="007C045F">
                              <w:pPr>
                                <w:rPr>
                                  <w:rFonts w:eastAsia="Times New Roman"/>
                                  <w:sz w:val="20"/>
                                  <w:szCs w:val="20"/>
                                </w:rPr>
                              </w:pPr>
                            </w:p>
                          </w:tc>
                        </w:tr>
                      </w:tbl>
                      <w:p w:rsidR="007C045F" w:rsidRDefault="007C045F">
                        <w:pPr>
                          <w:rPr>
                            <w:rFonts w:eastAsia="Times New Roman"/>
                            <w:sz w:val="20"/>
                            <w:szCs w:val="20"/>
                          </w:rPr>
                        </w:pPr>
                      </w:p>
                    </w:tc>
                  </w:tr>
                  <w:tr w:rsidR="007C045F">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7C045F">
                          <w:tc>
                            <w:tcPr>
                              <w:tcW w:w="150" w:type="dxa"/>
                              <w:shd w:val="clear" w:color="auto" w:fill="FFFFFF"/>
                              <w:vAlign w:val="center"/>
                              <w:hideMark/>
                            </w:tcPr>
                            <w:p w:rsidR="007C045F" w:rsidRDefault="007C045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C04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C04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C045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C045F">
                                                  <w:tc>
                                                    <w:tcPr>
                                                      <w:tcW w:w="0" w:type="auto"/>
                                                      <w:vAlign w:val="center"/>
                                                      <w:hideMark/>
                                                    </w:tcPr>
                                                    <w:p w:rsidR="007C045F" w:rsidRDefault="007C045F">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7C045F" w:rsidRDefault="007C045F">
                                                <w:pPr>
                                                  <w:rPr>
                                                    <w:rFonts w:eastAsia="Times New Roman"/>
                                                    <w:sz w:val="20"/>
                                                    <w:szCs w:val="20"/>
                                                  </w:rPr>
                                                </w:pPr>
                                              </w:p>
                                            </w:tc>
                                          </w:tr>
                                        </w:tbl>
                                        <w:p w:rsidR="007C045F" w:rsidRDefault="007C045F">
                                          <w:pPr>
                                            <w:rPr>
                                              <w:rFonts w:eastAsia="Times New Roman"/>
                                              <w:sz w:val="20"/>
                                              <w:szCs w:val="20"/>
                                            </w:rPr>
                                          </w:pPr>
                                        </w:p>
                                      </w:tc>
                                    </w:tr>
                                  </w:tbl>
                                  <w:p w:rsidR="007C045F" w:rsidRDefault="007C045F">
                                    <w:pPr>
                                      <w:jc w:val="center"/>
                                      <w:rPr>
                                        <w:rFonts w:eastAsia="Times New Roman"/>
                                        <w:sz w:val="20"/>
                                        <w:szCs w:val="20"/>
                                      </w:rPr>
                                    </w:pPr>
                                  </w:p>
                                </w:tc>
                              </w:tr>
                            </w:tbl>
                            <w:p w:rsidR="007C045F" w:rsidRDefault="007C045F">
                              <w:pPr>
                                <w:jc w:val="center"/>
                                <w:rPr>
                                  <w:rFonts w:eastAsia="Times New Roman"/>
                                  <w:sz w:val="20"/>
                                  <w:szCs w:val="20"/>
                                </w:rPr>
                              </w:pPr>
                            </w:p>
                          </w:tc>
                          <w:tc>
                            <w:tcPr>
                              <w:tcW w:w="150" w:type="dxa"/>
                              <w:shd w:val="clear" w:color="auto" w:fill="FFFFFF"/>
                              <w:vAlign w:val="center"/>
                              <w:hideMark/>
                            </w:tcPr>
                            <w:p w:rsidR="007C045F" w:rsidRDefault="007C045F">
                              <w:pPr>
                                <w:rPr>
                                  <w:rFonts w:eastAsia="Times New Roman"/>
                                  <w:sz w:val="20"/>
                                  <w:szCs w:val="20"/>
                                </w:rPr>
                              </w:pPr>
                            </w:p>
                          </w:tc>
                        </w:tr>
                      </w:tbl>
                      <w:p w:rsidR="007C045F" w:rsidRDefault="007C045F">
                        <w:pPr>
                          <w:rPr>
                            <w:rFonts w:eastAsia="Times New Roman"/>
                            <w:vanish/>
                          </w:rPr>
                        </w:pPr>
                      </w:p>
                      <w:tbl>
                        <w:tblPr>
                          <w:tblW w:w="5000" w:type="pct"/>
                          <w:tblCellMar>
                            <w:left w:w="0" w:type="dxa"/>
                            <w:right w:w="0" w:type="dxa"/>
                          </w:tblCellMar>
                          <w:tblLook w:val="04A0" w:firstRow="1" w:lastRow="0" w:firstColumn="1" w:lastColumn="0" w:noHBand="0" w:noVBand="1"/>
                        </w:tblPr>
                        <w:tblGrid>
                          <w:gridCol w:w="10050"/>
                        </w:tblGrid>
                        <w:tr w:rsidR="007C045F">
                          <w:trPr>
                            <w:trHeight w:val="150"/>
                          </w:trPr>
                          <w:tc>
                            <w:tcPr>
                              <w:tcW w:w="9750" w:type="dxa"/>
                              <w:shd w:val="clear" w:color="auto" w:fill="FFFFFF"/>
                              <w:tcMar>
                                <w:top w:w="0" w:type="dxa"/>
                                <w:left w:w="150" w:type="dxa"/>
                                <w:bottom w:w="0" w:type="dxa"/>
                                <w:right w:w="150" w:type="dxa"/>
                              </w:tcMar>
                              <w:vAlign w:val="center"/>
                              <w:hideMark/>
                            </w:tcPr>
                            <w:p w:rsidR="007C045F" w:rsidRDefault="007C045F">
                              <w:pPr>
                                <w:spacing w:line="150" w:lineRule="exact"/>
                                <w:rPr>
                                  <w:rFonts w:eastAsia="Times New Roman"/>
                                  <w:sz w:val="15"/>
                                  <w:szCs w:val="15"/>
                                </w:rPr>
                              </w:pPr>
                              <w:r>
                                <w:rPr>
                                  <w:rFonts w:eastAsia="Times New Roman"/>
                                  <w:sz w:val="15"/>
                                  <w:szCs w:val="15"/>
                                </w:rPr>
                                <w:t xml:space="preserve">  </w:t>
                              </w:r>
                            </w:p>
                          </w:tc>
                        </w:tr>
                      </w:tbl>
                      <w:p w:rsidR="007C045F" w:rsidRDefault="007C045F">
                        <w:pPr>
                          <w:rPr>
                            <w:rFonts w:eastAsia="Times New Roman"/>
                            <w:sz w:val="20"/>
                            <w:szCs w:val="20"/>
                          </w:rPr>
                        </w:pPr>
                      </w:p>
                    </w:tc>
                  </w:tr>
                </w:tbl>
                <w:p w:rsidR="007C045F" w:rsidRDefault="007C045F">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10050"/>
                  </w:tblGrid>
                  <w:tr w:rsidR="007C045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C045F">
                          <w:tc>
                            <w:tcPr>
                              <w:tcW w:w="150" w:type="dxa"/>
                              <w:vAlign w:val="center"/>
                              <w:hideMark/>
                            </w:tcPr>
                            <w:p w:rsidR="007C045F" w:rsidRDefault="007C045F">
                              <w:pPr>
                                <w:rPr>
                                  <w:rFonts w:eastAsia="Times New Roman"/>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C045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C04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C045F">
                                            <w:tc>
                                              <w:tcPr>
                                                <w:tcW w:w="0" w:type="auto"/>
                                                <w:tcMar>
                                                  <w:top w:w="300" w:type="dxa"/>
                                                  <w:left w:w="300" w:type="dxa"/>
                                                  <w:bottom w:w="300" w:type="dxa"/>
                                                  <w:right w:w="300" w:type="dxa"/>
                                                </w:tcMar>
                                                <w:vAlign w:val="center"/>
                                                <w:hideMark/>
                                              </w:tcPr>
                                              <w:p w:rsidR="007C045F" w:rsidRDefault="007C045F">
                                                <w:pPr>
                                                  <w:rPr>
                                                    <w:rFonts w:eastAsia="Times New Roman"/>
                                                    <w:sz w:val="20"/>
                                                    <w:szCs w:val="20"/>
                                                  </w:rPr>
                                                </w:pPr>
                                              </w:p>
                                            </w:tc>
                                          </w:tr>
                                        </w:tbl>
                                        <w:p w:rsidR="007C045F" w:rsidRDefault="007C045F">
                                          <w:pPr>
                                            <w:rPr>
                                              <w:rFonts w:eastAsia="Times New Roman"/>
                                              <w:sz w:val="20"/>
                                              <w:szCs w:val="20"/>
                                            </w:rPr>
                                          </w:pPr>
                                        </w:p>
                                      </w:tc>
                                    </w:tr>
                                  </w:tbl>
                                  <w:p w:rsidR="007C045F" w:rsidRDefault="007C045F">
                                    <w:pPr>
                                      <w:jc w:val="center"/>
                                      <w:rPr>
                                        <w:rFonts w:eastAsia="Times New Roman"/>
                                        <w:sz w:val="20"/>
                                        <w:szCs w:val="20"/>
                                      </w:rPr>
                                    </w:pPr>
                                  </w:p>
                                </w:tc>
                              </w:tr>
                            </w:tbl>
                            <w:p w:rsidR="007C045F" w:rsidRDefault="007C045F">
                              <w:pPr>
                                <w:jc w:val="center"/>
                                <w:rPr>
                                  <w:rFonts w:eastAsia="Times New Roman"/>
                                  <w:sz w:val="20"/>
                                  <w:szCs w:val="20"/>
                                </w:rPr>
                              </w:pPr>
                            </w:p>
                          </w:tc>
                          <w:tc>
                            <w:tcPr>
                              <w:tcW w:w="150" w:type="dxa"/>
                              <w:vAlign w:val="center"/>
                              <w:hideMark/>
                            </w:tcPr>
                            <w:p w:rsidR="007C045F" w:rsidRDefault="007C045F">
                              <w:pPr>
                                <w:rPr>
                                  <w:rFonts w:eastAsia="Times New Roman"/>
                                  <w:sz w:val="20"/>
                                  <w:szCs w:val="20"/>
                                </w:rPr>
                              </w:pPr>
                            </w:p>
                          </w:tc>
                        </w:tr>
                      </w:tbl>
                      <w:p w:rsidR="007C045F" w:rsidRDefault="007C045F">
                        <w:pPr>
                          <w:rPr>
                            <w:rFonts w:eastAsia="Times New Roman"/>
                            <w:sz w:val="20"/>
                            <w:szCs w:val="20"/>
                          </w:rPr>
                        </w:pPr>
                      </w:p>
                    </w:tc>
                  </w:tr>
                </w:tbl>
                <w:p w:rsidR="007C045F" w:rsidRDefault="007C045F">
                  <w:pPr>
                    <w:rPr>
                      <w:rFonts w:eastAsia="Times New Roman"/>
                      <w:sz w:val="20"/>
                      <w:szCs w:val="20"/>
                    </w:rPr>
                  </w:pPr>
                </w:p>
              </w:tc>
            </w:tr>
          </w:tbl>
          <w:p w:rsidR="007C045F" w:rsidRDefault="007C045F">
            <w:pPr>
              <w:jc w:val="center"/>
              <w:rPr>
                <w:rFonts w:eastAsia="Times New Roman"/>
                <w:sz w:val="20"/>
                <w:szCs w:val="20"/>
              </w:rPr>
            </w:pPr>
          </w:p>
        </w:tc>
      </w:tr>
      <w:bookmarkEnd w:id="0"/>
    </w:tbl>
    <w:p w:rsidR="007C045F" w:rsidRDefault="007C045F" w:rsidP="007C045F">
      <w:pPr>
        <w:rPr>
          <w:rFonts w:eastAsia="Times New Roman"/>
        </w:rPr>
      </w:pPr>
    </w:p>
    <w:p w:rsidR="00570550" w:rsidRDefault="00B87906"/>
    <w:sectPr w:rsidR="00570550" w:rsidSect="007C04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5F"/>
    <w:rsid w:val="00146195"/>
    <w:rsid w:val="001F68BF"/>
    <w:rsid w:val="0041446F"/>
    <w:rsid w:val="007C045F"/>
    <w:rsid w:val="00B87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430A"/>
  <w15:chartTrackingRefBased/>
  <w15:docId w15:val="{8AAE01FA-2068-4867-83A8-F79169B4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45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045F"/>
    <w:rPr>
      <w:color w:val="0000FF"/>
      <w:u w:val="single"/>
    </w:rPr>
  </w:style>
  <w:style w:type="paragraph" w:styleId="NormalWeb">
    <w:name w:val="Normal (Web)"/>
    <w:basedOn w:val="Normal"/>
    <w:uiPriority w:val="99"/>
    <w:unhideWhenUsed/>
    <w:rsid w:val="007C045F"/>
    <w:pPr>
      <w:spacing w:before="100" w:beforeAutospacing="1" w:after="100" w:afterAutospacing="1"/>
    </w:pPr>
  </w:style>
  <w:style w:type="character" w:styleId="lev">
    <w:name w:val="Strong"/>
    <w:basedOn w:val="Policepardfaut"/>
    <w:uiPriority w:val="22"/>
    <w:qFormat/>
    <w:rsid w:val="007C045F"/>
    <w:rPr>
      <w:b/>
      <w:bCs/>
    </w:rPr>
  </w:style>
  <w:style w:type="paragraph" w:styleId="Corpsdetexte">
    <w:name w:val="Body Text"/>
    <w:basedOn w:val="Normal"/>
    <w:link w:val="CorpsdetexteCar"/>
    <w:uiPriority w:val="1"/>
    <w:qFormat/>
    <w:rsid w:val="007C045F"/>
    <w:pPr>
      <w:widowControl w:val="0"/>
      <w:autoSpaceDE w:val="0"/>
      <w:autoSpaceDN w:val="0"/>
      <w:spacing w:line="288" w:lineRule="auto"/>
      <w:jc w:val="both"/>
    </w:pPr>
    <w:rPr>
      <w:rFonts w:ascii="Arial" w:hAnsi="Arial" w:cs="Arial"/>
      <w:bCs/>
      <w:sz w:val="20"/>
      <w:lang w:eastAsia="en-US"/>
    </w:rPr>
  </w:style>
  <w:style w:type="character" w:customStyle="1" w:styleId="CorpsdetexteCar">
    <w:name w:val="Corps de texte Car"/>
    <w:basedOn w:val="Policepardfaut"/>
    <w:link w:val="Corpsdetexte"/>
    <w:uiPriority w:val="1"/>
    <w:rsid w:val="007C045F"/>
    <w:rPr>
      <w:rFonts w:ascii="Arial"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1426">
      <w:bodyDiv w:val="1"/>
      <w:marLeft w:val="0"/>
      <w:marRight w:val="0"/>
      <w:marTop w:val="0"/>
      <w:marBottom w:val="0"/>
      <w:divBdr>
        <w:top w:val="none" w:sz="0" w:space="0" w:color="auto"/>
        <w:left w:val="none" w:sz="0" w:space="0" w:color="auto"/>
        <w:bottom w:val="none" w:sz="0" w:space="0" w:color="auto"/>
        <w:right w:val="none" w:sz="0" w:space="0" w:color="auto"/>
      </w:divBdr>
    </w:div>
    <w:div w:id="2461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sec.presse.travail@cab.travai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img.sarbacane.com/5b23cd31b85b536066d9291a/templates/GOIdz4keTFWqcXgdIN_Tdg/e6593d2900e2b4a056772e1e67f74bc42bad4d10.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3257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3</cp:revision>
  <dcterms:created xsi:type="dcterms:W3CDTF">2021-02-05T15:36:00Z</dcterms:created>
  <dcterms:modified xsi:type="dcterms:W3CDTF">2021-02-10T18:25:00Z</dcterms:modified>
</cp:coreProperties>
</file>