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55"/>
        <w:tblOverlap w:val="never"/>
        <w:tblW w:w="4851" w:type="pct"/>
        <w:tblCellMar>
          <w:left w:w="0" w:type="dxa"/>
          <w:right w:w="0" w:type="dxa"/>
        </w:tblCellMar>
        <w:tblLook w:val="04A0" w:firstRow="1" w:lastRow="0" w:firstColumn="1" w:lastColumn="0" w:noHBand="0" w:noVBand="1"/>
      </w:tblPr>
      <w:tblGrid>
        <w:gridCol w:w="8802"/>
      </w:tblGrid>
      <w:tr w:rsidR="001B6678" w:rsidTr="001B6678">
        <w:tc>
          <w:tcPr>
            <w:tcW w:w="0" w:type="auto"/>
            <w:tcMar>
              <w:top w:w="300" w:type="dxa"/>
              <w:left w:w="300" w:type="dxa"/>
              <w:bottom w:w="75" w:type="dxa"/>
              <w:right w:w="300" w:type="dxa"/>
            </w:tcMar>
            <w:vAlign w:val="center"/>
          </w:tcPr>
          <w:p w:rsidR="001B6678" w:rsidRDefault="001B6678" w:rsidP="001B6678">
            <w:pPr>
              <w:rPr>
                <w:rFonts w:eastAsia="Times New Roman"/>
                <w:sz w:val="20"/>
                <w:szCs w:val="20"/>
              </w:rPr>
            </w:pPr>
          </w:p>
        </w:tc>
      </w:tr>
    </w:tbl>
    <w:p w:rsidR="001B6678" w:rsidRDefault="001B6678" w:rsidP="001B6678"/>
    <w:tbl>
      <w:tblPr>
        <w:tblW w:w="5000" w:type="pct"/>
        <w:shd w:val="clear" w:color="auto" w:fill="FFFFFF"/>
        <w:tblCellMar>
          <w:left w:w="0" w:type="dxa"/>
          <w:right w:w="0" w:type="dxa"/>
        </w:tblCellMar>
        <w:tblLook w:val="04A0" w:firstRow="1" w:lastRow="0" w:firstColumn="1" w:lastColumn="0" w:noHBand="0" w:noVBand="1"/>
      </w:tblPr>
      <w:tblGrid>
        <w:gridCol w:w="9072"/>
      </w:tblGrid>
      <w:tr w:rsidR="001B6678" w:rsidTr="001B6678">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1B6678">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1B667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1B6678">
                          <w:tc>
                            <w:tcPr>
                              <w:tcW w:w="150" w:type="dxa"/>
                              <w:vAlign w:val="center"/>
                              <w:hideMark/>
                            </w:tcPr>
                            <w:p w:rsidR="001B6678" w:rsidRDefault="001B6678"/>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1B667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1B6678">
                                      <w:trPr>
                                        <w:jc w:val="center"/>
                                      </w:trPr>
                                      <w:tc>
                                        <w:tcPr>
                                          <w:tcW w:w="5000" w:type="pct"/>
                                          <w:hideMark/>
                                        </w:tcPr>
                                        <w:p w:rsidR="001B6678" w:rsidRDefault="001B6678">
                                          <w:pPr>
                                            <w:rPr>
                                              <w:rFonts w:eastAsia="Times New Roman"/>
                                              <w:sz w:val="20"/>
                                              <w:szCs w:val="20"/>
                                            </w:rPr>
                                          </w:pPr>
                                        </w:p>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vAlign w:val="center"/>
                              <w:hideMark/>
                            </w:tcPr>
                            <w:p w:rsidR="001B6678" w:rsidRDefault="001B6678">
                              <w:pPr>
                                <w:rPr>
                                  <w:rFonts w:eastAsia="Times New Roman"/>
                                  <w:sz w:val="20"/>
                                  <w:szCs w:val="20"/>
                                </w:rPr>
                              </w:pPr>
                            </w:p>
                          </w:tc>
                        </w:tr>
                      </w:tbl>
                      <w:p w:rsidR="001B6678" w:rsidRDefault="001B6678">
                        <w:pPr>
                          <w:rPr>
                            <w:rFonts w:eastAsia="Times New Roman"/>
                            <w:sz w:val="20"/>
                            <w:szCs w:val="20"/>
                          </w:rPr>
                        </w:pPr>
                      </w:p>
                    </w:tc>
                  </w:tr>
                  <w:tr w:rsidR="001B6678">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B6678" w:rsidTr="001B6678">
                          <w:trPr>
                            <w:trHeight w:val="150"/>
                          </w:trPr>
                          <w:tc>
                            <w:tcPr>
                              <w:tcW w:w="9750" w:type="dxa"/>
                              <w:shd w:val="clear" w:color="auto" w:fill="FFFFFF"/>
                              <w:tcMar>
                                <w:top w:w="0" w:type="dxa"/>
                                <w:left w:w="150" w:type="dxa"/>
                                <w:bottom w:w="0" w:type="dxa"/>
                                <w:right w:w="150" w:type="dxa"/>
                              </w:tcMar>
                              <w:vAlign w:val="center"/>
                            </w:tcPr>
                            <w:p w:rsidR="001B6678" w:rsidRDefault="001B6678">
                              <w:pPr>
                                <w:spacing w:line="150" w:lineRule="exact"/>
                                <w:rPr>
                                  <w:sz w:val="15"/>
                                  <w:szCs w:val="15"/>
                                </w:rPr>
                              </w:pPr>
                            </w:p>
                          </w:tc>
                        </w:tr>
                      </w:tbl>
                      <w:p w:rsidR="001B6678" w:rsidRDefault="001B6678">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1B6678">
                          <w:trPr>
                            <w:hidden/>
                          </w:trPr>
                          <w:tc>
                            <w:tcPr>
                              <w:tcW w:w="150" w:type="dxa"/>
                              <w:shd w:val="clear" w:color="auto" w:fill="FFFFFF"/>
                              <w:vAlign w:val="center"/>
                              <w:hideMark/>
                            </w:tcPr>
                            <w:p w:rsidR="001B6678" w:rsidRDefault="001B6678">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1B667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1B667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1B6678">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1B6678">
                                                  <w:trPr>
                                                    <w:jc w:val="center"/>
                                                  </w:trPr>
                                                  <w:tc>
                                                    <w:tcPr>
                                                      <w:tcW w:w="0" w:type="auto"/>
                                                      <w:vAlign w:val="center"/>
                                                    </w:tcPr>
                                                    <w:tbl>
                                                      <w:tblPr>
                                                        <w:tblpPr w:vertAnchor="text"/>
                                                        <w:tblW w:w="0" w:type="auto"/>
                                                        <w:tblCellMar>
                                                          <w:left w:w="0" w:type="dxa"/>
                                                          <w:right w:w="0" w:type="dxa"/>
                                                        </w:tblCellMar>
                                                        <w:tblLook w:val="04A0" w:firstRow="1" w:lastRow="0" w:firstColumn="1" w:lastColumn="0" w:noHBand="0" w:noVBand="1"/>
                                                      </w:tblPr>
                                                      <w:tblGrid>
                                                        <w:gridCol w:w="2708"/>
                                                      </w:tblGrid>
                                                      <w:tr w:rsidR="001B6678">
                                                        <w:tc>
                                                          <w:tcPr>
                                                            <w:tcW w:w="0" w:type="auto"/>
                                                            <w:vAlign w:val="center"/>
                                                            <w:hideMark/>
                                                          </w:tcPr>
                                                          <w:p w:rsidR="001B6678" w:rsidRDefault="001B6678">
                                                            <w:pPr>
                                                              <w:spacing w:line="0" w:lineRule="atLeast"/>
                                                              <w:rPr>
                                                                <w:sz w:val="2"/>
                                                                <w:szCs w:val="2"/>
                                                              </w:rPr>
                                                            </w:pPr>
                                                            <w:r>
                                                              <w:rPr>
                                                                <w:noProof/>
                                                                <w:sz w:val="2"/>
                                                                <w:szCs w:val="2"/>
                                                              </w:rPr>
                                                              <w:drawing>
                                                                <wp:inline distT="0" distB="0" distL="0" distR="0">
                                                                  <wp:extent cx="1719580" cy="1431290"/>
                                                                  <wp:effectExtent l="0" t="0" r="0" b="0"/>
                                                                  <wp:docPr id="2" name="Image 2"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9580" cy="1431290"/>
                                                                          </a:xfrm>
                                                                          <a:prstGeom prst="rect">
                                                                            <a:avLst/>
                                                                          </a:prstGeom>
                                                                          <a:noFill/>
                                                                          <a:ln>
                                                                            <a:noFill/>
                                                                          </a:ln>
                                                                        </pic:spPr>
                                                                      </pic:pic>
                                                                    </a:graphicData>
                                                                  </a:graphic>
                                                                </wp:inline>
                                                              </w:drawing>
                                                            </w:r>
                                                          </w:p>
                                                        </w:tc>
                                                      </w:tr>
                                                    </w:tbl>
                                                    <w:p w:rsidR="001B6678" w:rsidRDefault="001B6678">
                                                      <w:pPr>
                                                        <w:rPr>
                                                          <w:sz w:val="10"/>
                                                          <w:szCs w:val="10"/>
                                                        </w:rPr>
                                                      </w:pPr>
                                                    </w:p>
                                                    <w:p w:rsidR="001B6678" w:rsidRDefault="001B6678">
                                                      <w:pPr>
                                                        <w:rPr>
                                                          <w:sz w:val="20"/>
                                                          <w:szCs w:val="20"/>
                                                        </w:rPr>
                                                      </w:pPr>
                                                    </w:p>
                                                  </w:tc>
                                                </w:tr>
                                              </w:tbl>
                                              <w:p w:rsidR="001B6678" w:rsidRDefault="001B6678">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1B6678">
                                                  <w:trPr>
                                                    <w:trHeight w:val="300"/>
                                                    <w:jc w:val="center"/>
                                                  </w:trPr>
                                                  <w:tc>
                                                    <w:tcPr>
                                                      <w:tcW w:w="0" w:type="auto"/>
                                                      <w:vAlign w:val="center"/>
                                                      <w:hideMark/>
                                                    </w:tcPr>
                                                    <w:p w:rsidR="001B6678" w:rsidRDefault="001B6678">
                                                      <w:pPr>
                                                        <w:spacing w:line="300" w:lineRule="exact"/>
                                                        <w:rPr>
                                                          <w:sz w:val="30"/>
                                                          <w:szCs w:val="30"/>
                                                        </w:rPr>
                                                      </w:pPr>
                                                      <w:r>
                                                        <w:rPr>
                                                          <w:sz w:val="30"/>
                                                          <w:szCs w:val="30"/>
                                                        </w:rPr>
                                                        <w:t xml:space="preserve">  </w:t>
                                                      </w:r>
                                                    </w:p>
                                                  </w:tc>
                                                </w:tr>
                                              </w:tbl>
                                              <w:p w:rsidR="001B6678" w:rsidRDefault="001B6678">
                                                <w:pPr>
                                                  <w:jc w:val="center"/>
                                                  <w:rPr>
                                                    <w:sz w:val="20"/>
                                                    <w:szCs w:val="20"/>
                                                  </w:rPr>
                                                </w:pPr>
                                              </w:p>
                                            </w:tc>
                                          </w:tr>
                                        </w:tbl>
                                        <w:p w:rsidR="001B6678" w:rsidRDefault="001B6678">
                                          <w:pPr>
                                            <w:rPr>
                                              <w:rFonts w:eastAsia="Times New Roman"/>
                                              <w:sz w:val="20"/>
                                              <w:szCs w:val="20"/>
                                            </w:rPr>
                                          </w:pPr>
                                        </w:p>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shd w:val="clear" w:color="auto" w:fill="FFFFFF"/>
                              <w:vAlign w:val="center"/>
                              <w:hideMark/>
                            </w:tcPr>
                            <w:p w:rsidR="001B6678" w:rsidRDefault="001B6678">
                              <w:pPr>
                                <w:rPr>
                                  <w:rFonts w:eastAsia="Times New Roman"/>
                                  <w:sz w:val="20"/>
                                  <w:szCs w:val="20"/>
                                </w:rPr>
                              </w:pPr>
                            </w:p>
                          </w:tc>
                        </w:tr>
                      </w:tbl>
                      <w:p w:rsidR="001B6678" w:rsidRDefault="001B6678">
                        <w:pPr>
                          <w:rPr>
                            <w:sz w:val="20"/>
                            <w:szCs w:val="20"/>
                          </w:rPr>
                        </w:pPr>
                      </w:p>
                    </w:tc>
                  </w:tr>
                </w:tbl>
                <w:p w:rsidR="001B6678" w:rsidRDefault="001B6678"/>
                <w:tbl>
                  <w:tblPr>
                    <w:tblW w:w="5000" w:type="pct"/>
                    <w:tblCellMar>
                      <w:left w:w="0" w:type="dxa"/>
                      <w:right w:w="0" w:type="dxa"/>
                    </w:tblCellMar>
                    <w:tblLook w:val="04A0" w:firstRow="1" w:lastRow="0" w:firstColumn="1" w:lastColumn="0" w:noHBand="0" w:noVBand="1"/>
                  </w:tblPr>
                  <w:tblGrid>
                    <w:gridCol w:w="9072"/>
                  </w:tblGrid>
                  <w:tr w:rsidR="001B6678">
                    <w:tc>
                      <w:tcPr>
                        <w:tcW w:w="0" w:type="auto"/>
                        <w:vAlign w:val="center"/>
                        <w:hideMark/>
                      </w:tcPr>
                      <w:tbl>
                        <w:tblPr>
                          <w:tblW w:w="0" w:type="auto"/>
                          <w:tblCellMar>
                            <w:left w:w="0" w:type="dxa"/>
                            <w:right w:w="0" w:type="dxa"/>
                          </w:tblCellMar>
                          <w:tblLook w:val="04A0" w:firstRow="1" w:lastRow="0" w:firstColumn="1" w:lastColumn="0" w:noHBand="0" w:noVBand="1"/>
                        </w:tblPr>
                        <w:tblGrid>
                          <w:gridCol w:w="118"/>
                          <w:gridCol w:w="8837"/>
                          <w:gridCol w:w="117"/>
                        </w:tblGrid>
                        <w:tr w:rsidR="001B6678">
                          <w:tc>
                            <w:tcPr>
                              <w:tcW w:w="150" w:type="dxa"/>
                              <w:shd w:val="clear" w:color="auto" w:fill="FFFFFF"/>
                              <w:vAlign w:val="center"/>
                              <w:hideMark/>
                            </w:tcPr>
                            <w:p w:rsidR="001B6678" w:rsidRDefault="001B6678"/>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7"/>
                              </w:tblGrid>
                              <w:tr w:rsidR="001B667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7"/>
                                    </w:tblGrid>
                                    <w:tr w:rsidR="001B6678">
                                      <w:trPr>
                                        <w:jc w:val="center"/>
                                      </w:trPr>
                                      <w:tc>
                                        <w:tcPr>
                                          <w:tcW w:w="5000" w:type="pct"/>
                                        </w:tcPr>
                                        <w:p w:rsidR="001B6678" w:rsidRDefault="001B6678">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8837"/>
                                          </w:tblGrid>
                                          <w:tr w:rsidR="001B6678">
                                            <w:tc>
                                              <w:tcPr>
                                                <w:tcW w:w="0" w:type="auto"/>
                                                <w:tcMar>
                                                  <w:top w:w="300" w:type="dxa"/>
                                                  <w:left w:w="300" w:type="dxa"/>
                                                  <w:bottom w:w="300" w:type="dxa"/>
                                                  <w:right w:w="300" w:type="dxa"/>
                                                </w:tcMar>
                                                <w:vAlign w:val="center"/>
                                                <w:hideMark/>
                                              </w:tcPr>
                                              <w:p w:rsidR="001B6678" w:rsidRDefault="001B6678">
                                                <w:pPr>
                                                  <w:rPr>
                                                    <w:rFonts w:ascii="Calibri" w:hAnsi="Calibri" w:cs="Calibri"/>
                                                    <w:sz w:val="22"/>
                                                    <w:szCs w:val="22"/>
                                                  </w:rPr>
                                                </w:pP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noProof/>
                                                    <w:sz w:val="22"/>
                                                    <w:szCs w:val="22"/>
                                                  </w:rPr>
                                                  <w:drawing>
                                                    <wp:inline distT="0" distB="0" distL="0" distR="0">
                                                      <wp:extent cx="1222375" cy="1172845"/>
                                                      <wp:effectExtent l="0" t="0" r="0" b="8255"/>
                                                      <wp:docPr id="1" name="Image 1" descr="cid:image003.png@01D80E1E.2FAF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80E1E.2FAF87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2375" cy="1172845"/>
                                                              </a:xfrm>
                                                              <a:prstGeom prst="rect">
                                                                <a:avLst/>
                                                              </a:prstGeom>
                                                              <a:noFill/>
                                                              <a:ln>
                                                                <a:noFill/>
                                                              </a:ln>
                                                            </pic:spPr>
                                                          </pic:pic>
                                                        </a:graphicData>
                                                      </a:graphic>
                                                    </wp:inline>
                                                  </w:drawing>
                                                </w:r>
                                              </w:p>
                                              <w:tbl>
                                                <w:tblPr>
                                                  <w:tblpPr w:vertAnchor="text"/>
                                                  <w:tblW w:w="5000" w:type="pct"/>
                                                  <w:tblCellMar>
                                                    <w:left w:w="0" w:type="dxa"/>
                                                    <w:right w:w="0" w:type="dxa"/>
                                                  </w:tblCellMar>
                                                  <w:tblLook w:val="04A0" w:firstRow="1" w:lastRow="0" w:firstColumn="1" w:lastColumn="0" w:noHBand="0" w:noVBand="1"/>
                                                </w:tblPr>
                                                <w:tblGrid>
                                                  <w:gridCol w:w="8237"/>
                                                </w:tblGrid>
                                                <w:tr w:rsidR="001B6678">
                                                  <w:tc>
                                                    <w:tcPr>
                                                      <w:tcW w:w="0" w:type="auto"/>
                                                      <w:vAlign w:val="center"/>
                                                    </w:tcPr>
                                                    <w:p w:rsidR="001B6678" w:rsidRDefault="001B6678">
                                                      <w:pPr>
                                                        <w:pStyle w:val="NormalWeb"/>
                                                        <w:spacing w:before="0" w:beforeAutospacing="0" w:after="0" w:afterAutospacing="0" w:line="390" w:lineRule="exact"/>
                                                        <w:jc w:val="center"/>
                                                        <w:rPr>
                                                          <w:rStyle w:val="lev"/>
                                                          <w:rFonts w:ascii="Arial" w:hAnsi="Arial" w:cs="Arial"/>
                                                          <w:color w:val="000000"/>
                                                        </w:rPr>
                                                      </w:pPr>
                                                    </w:p>
                                                    <w:p w:rsidR="001B6678" w:rsidRDefault="001B6678">
                                                      <w:pPr>
                                                        <w:pStyle w:val="NormalWeb"/>
                                                        <w:spacing w:before="0" w:beforeAutospacing="0" w:after="0" w:afterAutospacing="0" w:line="390" w:lineRule="exact"/>
                                                        <w:jc w:val="center"/>
                                                        <w:rPr>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B6678">
                                                  <w:trPr>
                                                    <w:trHeight w:val="300"/>
                                                    <w:jc w:val="center"/>
                                                  </w:trPr>
                                                  <w:tc>
                                                    <w:tcPr>
                                                      <w:tcW w:w="0" w:type="auto"/>
                                                      <w:vAlign w:val="center"/>
                                                      <w:hideMark/>
                                                    </w:tcPr>
                                                    <w:p w:rsidR="001B6678" w:rsidRDefault="001B6678">
                                                      <w:pPr>
                                                        <w:spacing w:line="300" w:lineRule="exact"/>
                                                        <w:rPr>
                                                          <w:sz w:val="30"/>
                                                          <w:szCs w:val="30"/>
                                                        </w:rPr>
                                                      </w:pPr>
                                                      <w:r>
                                                        <w:rPr>
                                                          <w:sz w:val="30"/>
                                                          <w:szCs w:val="30"/>
                                                        </w:rPr>
                                                        <w:t xml:space="preserve">  </w:t>
                                                      </w:r>
                                                    </w:p>
                                                  </w:tc>
                                                </w:tr>
                                              </w:tbl>
                                              <w:p w:rsidR="001B6678" w:rsidRDefault="001B6678">
                                                <w:pPr>
                                                  <w:jc w:val="center"/>
                                                  <w:rPr>
                                                    <w:rFonts w:eastAsia="Times New Roman"/>
                                                    <w:sz w:val="20"/>
                                                    <w:szCs w:val="20"/>
                                                  </w:rPr>
                                                </w:pPr>
                                              </w:p>
                                            </w:tc>
                                          </w:tr>
                                        </w:tbl>
                                        <w:p w:rsidR="001B6678" w:rsidRDefault="001B6678"/>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shd w:val="clear" w:color="auto" w:fill="FFFFFF"/>
                              <w:vAlign w:val="center"/>
                              <w:hideMark/>
                            </w:tcPr>
                            <w:p w:rsidR="001B6678" w:rsidRDefault="001B6678">
                              <w:pPr>
                                <w:rPr>
                                  <w:rFonts w:eastAsia="Times New Roman"/>
                                  <w:sz w:val="20"/>
                                  <w:szCs w:val="20"/>
                                </w:rPr>
                              </w:pPr>
                            </w:p>
                          </w:tc>
                        </w:tr>
                      </w:tbl>
                      <w:p w:rsidR="001B6678" w:rsidRDefault="001B6678">
                        <w:pPr>
                          <w:rPr>
                            <w:rFonts w:eastAsia="Times New Roman"/>
                            <w:sz w:val="20"/>
                            <w:szCs w:val="20"/>
                          </w:rPr>
                        </w:pPr>
                      </w:p>
                    </w:tc>
                  </w:tr>
                  <w:tr w:rsidR="001B6678">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B6678">
                          <w:tc>
                            <w:tcPr>
                              <w:tcW w:w="150" w:type="dxa"/>
                              <w:shd w:val="clear" w:color="auto" w:fill="FFFFFF"/>
                              <w:vAlign w:val="center"/>
                              <w:hideMark/>
                            </w:tcPr>
                            <w:p w:rsidR="001B6678" w:rsidRDefault="001B667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1B667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1B667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B667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B6678">
                                                  <w:tc>
                                                    <w:tcPr>
                                                      <w:tcW w:w="0" w:type="auto"/>
                                                      <w:vAlign w:val="center"/>
                                                      <w:hideMark/>
                                                    </w:tcPr>
                                                    <w:p w:rsidR="001B6678" w:rsidRDefault="001B667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20/01/2022</w:t>
                                                      </w:r>
                                                    </w:p>
                                                  </w:tc>
                                                </w:tr>
                                              </w:tbl>
                                              <w:p w:rsidR="001B6678" w:rsidRDefault="001B6678">
                                                <w:pPr>
                                                  <w:rPr>
                                                    <w:rFonts w:eastAsia="Times New Roman"/>
                                                    <w:sz w:val="20"/>
                                                    <w:szCs w:val="20"/>
                                                  </w:rPr>
                                                </w:pPr>
                                              </w:p>
                                            </w:tc>
                                          </w:tr>
                                        </w:tbl>
                                        <w:p w:rsidR="001B6678" w:rsidRDefault="001B6678">
                                          <w:pPr>
                                            <w:rPr>
                                              <w:rFonts w:eastAsia="Times New Roman"/>
                                              <w:sz w:val="20"/>
                                              <w:szCs w:val="20"/>
                                            </w:rPr>
                                          </w:pPr>
                                        </w:p>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shd w:val="clear" w:color="auto" w:fill="FFFFFF"/>
                              <w:vAlign w:val="center"/>
                              <w:hideMark/>
                            </w:tcPr>
                            <w:p w:rsidR="001B6678" w:rsidRDefault="001B6678">
                              <w:pPr>
                                <w:rPr>
                                  <w:rFonts w:eastAsia="Times New Roman"/>
                                  <w:sz w:val="20"/>
                                  <w:szCs w:val="20"/>
                                </w:rPr>
                              </w:pPr>
                            </w:p>
                          </w:tc>
                        </w:tr>
                      </w:tbl>
                      <w:p w:rsidR="001B6678" w:rsidRDefault="001B6678">
                        <w:pPr>
                          <w:rPr>
                            <w:rFonts w:eastAsia="Times New Roman"/>
                            <w:sz w:val="20"/>
                            <w:szCs w:val="20"/>
                          </w:rPr>
                        </w:pPr>
                      </w:p>
                    </w:tc>
                  </w:tr>
                </w:tbl>
                <w:p w:rsidR="001B6678" w:rsidRDefault="001B6678"/>
                <w:tbl>
                  <w:tblPr>
                    <w:tblW w:w="5000" w:type="pct"/>
                    <w:tblCellMar>
                      <w:left w:w="0" w:type="dxa"/>
                      <w:right w:w="0" w:type="dxa"/>
                    </w:tblCellMar>
                    <w:tblLook w:val="04A0" w:firstRow="1" w:lastRow="0" w:firstColumn="1" w:lastColumn="0" w:noHBand="0" w:noVBand="1"/>
                  </w:tblPr>
                  <w:tblGrid>
                    <w:gridCol w:w="9072"/>
                  </w:tblGrid>
                  <w:tr w:rsidR="001B6678">
                    <w:tc>
                      <w:tcPr>
                        <w:tcW w:w="0" w:type="auto"/>
                        <w:vAlign w:val="center"/>
                        <w:hideMark/>
                      </w:tcPr>
                      <w:p w:rsidR="001B6678" w:rsidRDefault="001B6678"/>
                    </w:tc>
                  </w:tr>
                  <w:tr w:rsidR="001B6678">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1B6678">
                          <w:tc>
                            <w:tcPr>
                              <w:tcW w:w="150" w:type="dxa"/>
                              <w:shd w:val="clear" w:color="auto" w:fill="FFFFFF"/>
                              <w:vAlign w:val="center"/>
                              <w:hideMark/>
                            </w:tcPr>
                            <w:p w:rsidR="001B6678" w:rsidRDefault="001B667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4"/>
                              </w:tblGrid>
                              <w:tr w:rsidR="001B667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4"/>
                                    </w:tblGrid>
                                    <w:tr w:rsidR="001B667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4"/>
                                          </w:tblGrid>
                                          <w:tr w:rsidR="001B667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24"/>
                                                </w:tblGrid>
                                                <w:tr w:rsidR="001B6678">
                                                  <w:tc>
                                                    <w:tcPr>
                                                      <w:tcW w:w="0" w:type="auto"/>
                                                      <w:vAlign w:val="center"/>
                                                    </w:tcPr>
                                                    <w:p w:rsidR="001B6678" w:rsidRDefault="001B6678">
                                                      <w:pPr>
                                                        <w:pStyle w:val="NormalWeb"/>
                                                        <w:spacing w:before="0" w:beforeAutospacing="0" w:after="0" w:afterAutospacing="0" w:line="330" w:lineRule="exact"/>
                                                        <w:jc w:val="both"/>
                                                        <w:rPr>
                                                          <w:rFonts w:ascii="Arial" w:hAnsi="Arial" w:cs="Arial"/>
                                                          <w:b/>
                                                          <w:bCs/>
                                                          <w:color w:val="3B3838"/>
                                                        </w:rPr>
                                                      </w:pPr>
                                                      <w:r>
                                                        <w:rPr>
                                                          <w:rFonts w:ascii="Arial" w:hAnsi="Arial" w:cs="Arial"/>
                                                          <w:b/>
                                                          <w:bCs/>
                                                          <w:color w:val="3B3838"/>
                                                        </w:rPr>
                                                        <w:t>Développer l’Erasmus des apprentis : un enjeu pour la présidence française du Conseil de l’Union européenne</w:t>
                                                      </w:r>
                                                    </w:p>
                                                    <w:p w:rsidR="001B6678" w:rsidRDefault="001B6678">
                                                      <w:pPr>
                                                        <w:pStyle w:val="NormalWeb"/>
                                                        <w:spacing w:before="0" w:beforeAutospacing="0" w:after="0" w:afterAutospacing="0" w:line="330" w:lineRule="exact"/>
                                                        <w:jc w:val="both"/>
                                                        <w:rPr>
                                                          <w:rFonts w:ascii="Arial" w:hAnsi="Arial" w:cs="Arial"/>
                                                          <w:color w:val="3B3838"/>
                                                          <w:sz w:val="21"/>
                                                          <w:szCs w:val="21"/>
                                                        </w:rPr>
                                                      </w:pPr>
                                                    </w:p>
                                                    <w:p w:rsidR="001B6678" w:rsidRDefault="001B6678">
                                                      <w:pPr>
                                                        <w:pStyle w:val="NormalWeb"/>
                                                        <w:spacing w:before="0" w:beforeAutospacing="0" w:after="0" w:afterAutospacing="0" w:line="330" w:lineRule="exact"/>
                                                        <w:jc w:val="both"/>
                                                        <w:rPr>
                                                          <w:rFonts w:ascii="Arial" w:hAnsi="Arial" w:cs="Arial"/>
                                                          <w:b/>
                                                          <w:bCs/>
                                                          <w:color w:val="3B3838"/>
                                                          <w:sz w:val="21"/>
                                                          <w:szCs w:val="21"/>
                                                        </w:rPr>
                                                      </w:pPr>
                                                      <w:r>
                                                        <w:rPr>
                                                          <w:rFonts w:ascii="Arial" w:hAnsi="Arial" w:cs="Arial"/>
                                                          <w:b/>
                                                          <w:bCs/>
                                                          <w:color w:val="3B3838"/>
                                                          <w:sz w:val="21"/>
                                                          <w:szCs w:val="21"/>
                                                        </w:rPr>
                                                        <w:t>Lors de la conférence ministérielle organisée dans le cadre de la présidence française du Conseil de l’Union européenne, à l’occasion des 35 ans du programme « Erasmus + », les ministres européens se sont notamment engagés à renforcer les partenariats entre Etats membres pour développer la mobilité européenne des jeunes en apprentissage.</w:t>
                                                      </w:r>
                                                    </w:p>
                                                    <w:p w:rsidR="001B6678" w:rsidRDefault="001B6678">
                                                      <w:pPr>
                                                        <w:pStyle w:val="NormalWeb"/>
                                                        <w:spacing w:before="0" w:beforeAutospacing="0" w:after="0" w:afterAutospacing="0" w:line="330" w:lineRule="exact"/>
                                                        <w:jc w:val="both"/>
                                                        <w:rPr>
                                                          <w:rFonts w:ascii="Arial" w:hAnsi="Arial" w:cs="Arial"/>
                                                          <w:color w:val="393939"/>
                                                          <w:sz w:val="26"/>
                                                          <w:szCs w:val="26"/>
                                                        </w:rPr>
                                                      </w:pPr>
                                                    </w:p>
                                                    <w:p w:rsidR="001B6678" w:rsidRDefault="001B6678">
                                                      <w:pPr>
                                                        <w:jc w:val="both"/>
                                                        <w:rPr>
                                                          <w:rFonts w:ascii="Arial" w:hAnsi="Arial" w:cs="Arial"/>
                                                          <w:color w:val="3B3838"/>
                                                          <w:sz w:val="21"/>
                                                          <w:szCs w:val="21"/>
                                                        </w:rPr>
                                                      </w:pPr>
                                                      <w:r>
                                                        <w:rPr>
                                                          <w:rFonts w:ascii="Arial" w:hAnsi="Arial" w:cs="Arial"/>
                                                          <w:color w:val="3B3838"/>
                                                          <w:sz w:val="21"/>
                                                          <w:szCs w:val="21"/>
                                                        </w:rPr>
                                                        <w:t>Erasmus+ permet chaque année à des milliers d’étudiants européens de suivre leur formation dans un autre pays d’Europe. Depuis 1987, plus de 10 millions d’européens ont pu effectuer un séjour de mobilité grâce à ce programme. Or, aujourd’hui, qu’ils soient en contrat d’apprentissage ou de professionnalisation, les apprentis ne représentent que 8% des bénéficiaires du programme Erasmus +.</w:t>
                                                      </w:r>
                                                    </w:p>
                                                    <w:p w:rsidR="001B6678" w:rsidRDefault="001B6678">
                                                      <w:pPr>
                                                        <w:jc w:val="both"/>
                                                        <w:rPr>
                                                          <w:rFonts w:ascii="Arial" w:hAnsi="Arial" w:cs="Arial"/>
                                                          <w:color w:val="3B3838"/>
                                                          <w:sz w:val="21"/>
                                                          <w:szCs w:val="21"/>
                                                        </w:rPr>
                                                      </w:pPr>
                                                    </w:p>
                                                    <w:p w:rsidR="001B6678" w:rsidRDefault="001B6678">
                                                      <w:pPr>
                                                        <w:jc w:val="both"/>
                                                        <w:rPr>
                                                          <w:rFonts w:ascii="Arial" w:hAnsi="Arial" w:cs="Arial"/>
                                                          <w:color w:val="3B3838"/>
                                                          <w:sz w:val="21"/>
                                                          <w:szCs w:val="21"/>
                                                        </w:rPr>
                                                      </w:pPr>
                                                      <w:r>
                                                        <w:rPr>
                                                          <w:rFonts w:ascii="Arial" w:hAnsi="Arial" w:cs="Arial"/>
                                                          <w:color w:val="3B3838"/>
                                                          <w:sz w:val="21"/>
                                                          <w:szCs w:val="21"/>
                                                        </w:rPr>
                                                        <w:t xml:space="preserve">Conformément à la </w:t>
                                                      </w:r>
                                                      <w:hyperlink r:id="rId7" w:history="1">
                                                        <w:r>
                                                          <w:rPr>
                                                            <w:rStyle w:val="Lienhypertexte"/>
                                                            <w:rFonts w:ascii="Arial" w:hAnsi="Arial" w:cs="Arial"/>
                                                            <w:sz w:val="21"/>
                                                            <w:szCs w:val="21"/>
                                                          </w:rPr>
                                                          <w:t>déclaration de Porto</w:t>
                                                        </w:r>
                                                      </w:hyperlink>
                                                      <w:r>
                                                        <w:rPr>
                                                          <w:rFonts w:ascii="Arial" w:hAnsi="Arial" w:cs="Arial"/>
                                                          <w:sz w:val="21"/>
                                                          <w:szCs w:val="21"/>
                                                        </w:rPr>
                                                        <w:t xml:space="preserve"> </w:t>
                                                      </w:r>
                                                      <w:r>
                                                        <w:rPr>
                                                          <w:rFonts w:ascii="Arial" w:hAnsi="Arial" w:cs="Arial"/>
                                                          <w:color w:val="3B3838"/>
                                                          <w:sz w:val="21"/>
                                                          <w:szCs w:val="21"/>
                                                        </w:rPr>
                                                        <w:t xml:space="preserve">de mai 2021, l’enjeu est désormais qu’Erasmus+ bénéficie davantage à ces jeunes en apprentissage. </w:t>
                                                      </w:r>
                                                    </w:p>
                                                    <w:p w:rsidR="001B6678" w:rsidRDefault="001B6678">
                                                      <w:pPr>
                                                        <w:jc w:val="both"/>
                                                        <w:rPr>
                                                          <w:rFonts w:ascii="Arial" w:hAnsi="Arial" w:cs="Arial"/>
                                                          <w:color w:val="3B3838"/>
                                                          <w:sz w:val="21"/>
                                                          <w:szCs w:val="21"/>
                                                        </w:rPr>
                                                      </w:pPr>
                                                    </w:p>
                                                    <w:p w:rsidR="001B6678" w:rsidRDefault="001B6678">
                                                      <w:pPr>
                                                        <w:jc w:val="both"/>
                                                        <w:rPr>
                                                          <w:rFonts w:ascii="Arial" w:hAnsi="Arial" w:cs="Arial"/>
                                                          <w:color w:val="3B3838"/>
                                                          <w:sz w:val="21"/>
                                                          <w:szCs w:val="21"/>
                                                        </w:rPr>
                                                      </w:pPr>
                                                      <w:r>
                                                        <w:rPr>
                                                          <w:rFonts w:ascii="Arial" w:hAnsi="Arial" w:cs="Arial"/>
                                                          <w:color w:val="3B3838"/>
                                                          <w:sz w:val="21"/>
                                                          <w:szCs w:val="21"/>
                                                        </w:rPr>
                                                        <w:t xml:space="preserve">En effet, l’apprentissage est une voie d’excellence et un levier essentiel pour lutter contre le chômage des jeunes. En outre, une mobilité européenne offre l’opportunité de développer de nouvelles compétences et de nouveaux savoir-faire professionnels, en ouvrant les jeunes à une autre manière de faire et d’apprendre. Elle constitue ainsi un atout supplémentaire en faveur de leur insertion professionnelle : 86% de celles et ceux qui ont bénéficié du programme Erasmus+ perçoivent une amélioration de leur employabilité à la suite de leur mobilité. </w:t>
                                                      </w:r>
                                                    </w:p>
                                                    <w:p w:rsidR="001B6678" w:rsidRDefault="001B6678">
                                                      <w:pPr>
                                                        <w:jc w:val="both"/>
                                                        <w:rPr>
                                                          <w:rFonts w:ascii="Arial" w:hAnsi="Arial" w:cs="Arial"/>
                                                          <w:color w:val="3B3838"/>
                                                          <w:sz w:val="21"/>
                                                          <w:szCs w:val="21"/>
                                                        </w:rPr>
                                                      </w:pPr>
                                                    </w:p>
                                                    <w:p w:rsidR="001B6678" w:rsidRDefault="001B6678">
                                                      <w:pPr>
                                                        <w:jc w:val="both"/>
                                                        <w:rPr>
                                                          <w:rFonts w:ascii="Arial" w:hAnsi="Arial" w:cs="Arial"/>
                                                          <w:color w:val="3B3838"/>
                                                          <w:sz w:val="21"/>
                                                          <w:szCs w:val="21"/>
                                                        </w:rPr>
                                                      </w:pPr>
                                                      <w:r>
                                                        <w:rPr>
                                                          <w:rFonts w:ascii="Arial" w:hAnsi="Arial" w:cs="Arial"/>
                                                          <w:color w:val="3B3838"/>
                                                          <w:sz w:val="21"/>
                                                          <w:szCs w:val="21"/>
                                                        </w:rPr>
                                                        <w:t>Enfin, le développement de la mobilité dans les parcours d’apprentissage vise à offrir à tous les jeunes la possibilité d’une expérience européenne, quel que soit leur parcours de formation, et permettra ainsi de renforcer leur sentiment d’appartenance à l’Europe.</w:t>
                                                      </w:r>
                                                    </w:p>
                                                    <w:p w:rsidR="001B6678" w:rsidRDefault="001B6678">
                                                      <w:pPr>
                                                        <w:jc w:val="both"/>
                                                      </w:pPr>
                                                    </w:p>
                                                    <w:p w:rsidR="001B6678" w:rsidRDefault="001B6678">
                                                      <w:pPr>
                                                        <w:pStyle w:val="NormalWeb"/>
                                                        <w:spacing w:before="0" w:beforeAutospacing="0" w:after="0" w:afterAutospacing="0" w:line="330" w:lineRule="exact"/>
                                                        <w:jc w:val="both"/>
                                                        <w:rPr>
                                                          <w:rFonts w:ascii="Arial" w:hAnsi="Arial" w:cs="Arial"/>
                                                          <w:b/>
                                                          <w:bCs/>
                                                          <w:color w:val="3B3838"/>
                                                          <w:sz w:val="21"/>
                                                          <w:szCs w:val="21"/>
                                                        </w:rPr>
                                                      </w:pPr>
                                                      <w:r>
                                                        <w:rPr>
                                                          <w:rFonts w:ascii="Arial" w:hAnsi="Arial" w:cs="Arial"/>
                                                          <w:b/>
                                                          <w:bCs/>
                                                          <w:color w:val="3B3838"/>
                                                          <w:sz w:val="21"/>
                                                          <w:szCs w:val="21"/>
                                                        </w:rPr>
                                                        <w:t>Les actions pour développer l</w:t>
                                                      </w:r>
                                                      <w:proofErr w:type="gramStart"/>
                                                      <w:r>
                                                        <w:rPr>
                                                          <w:rFonts w:ascii="Arial" w:hAnsi="Arial" w:cs="Arial"/>
                                                          <w:b/>
                                                          <w:bCs/>
                                                          <w:color w:val="3B3838"/>
                                                          <w:sz w:val="21"/>
                                                          <w:szCs w:val="21"/>
                                                        </w:rPr>
                                                        <w:t>’«</w:t>
                                                      </w:r>
                                                      <w:proofErr w:type="gramEnd"/>
                                                      <w:r>
                                                        <w:rPr>
                                                          <w:rFonts w:ascii="Arial" w:hAnsi="Arial" w:cs="Arial"/>
                                                          <w:b/>
                                                          <w:bCs/>
                                                          <w:color w:val="3B3838"/>
                                                          <w:sz w:val="21"/>
                                                          <w:szCs w:val="21"/>
                                                        </w:rPr>
                                                        <w:t xml:space="preserve"> Erasmus des apprentis » </w:t>
                                                      </w:r>
                                                    </w:p>
                                                    <w:p w:rsidR="001B6678" w:rsidRDefault="001B6678">
                                                      <w:pPr>
                                                        <w:pStyle w:val="NormalWeb"/>
                                                        <w:spacing w:before="0" w:beforeAutospacing="0" w:after="0" w:afterAutospacing="0" w:line="330" w:lineRule="exact"/>
                                                        <w:jc w:val="both"/>
                                                        <w:rPr>
                                                          <w:rFonts w:ascii="Arial" w:hAnsi="Arial" w:cs="Arial"/>
                                                          <w:b/>
                                                          <w:bCs/>
                                                          <w:color w:val="3B3838"/>
                                                          <w:sz w:val="21"/>
                                                          <w:szCs w:val="21"/>
                                                        </w:rPr>
                                                      </w:pPr>
                                                    </w:p>
                                                    <w:p w:rsidR="001B6678" w:rsidRDefault="001B6678">
                                                      <w:pPr>
                                                        <w:jc w:val="both"/>
                                                        <w:rPr>
                                                          <w:rFonts w:ascii="Arial" w:hAnsi="Arial" w:cs="Arial"/>
                                                          <w:color w:val="3B3838"/>
                                                          <w:sz w:val="21"/>
                                                          <w:szCs w:val="21"/>
                                                        </w:rPr>
                                                      </w:pPr>
                                                      <w:r>
                                                        <w:rPr>
                                                          <w:rFonts w:ascii="Arial" w:hAnsi="Arial" w:cs="Arial"/>
                                                          <w:color w:val="3B3838"/>
                                                          <w:sz w:val="21"/>
                                                          <w:szCs w:val="21"/>
                                                        </w:rPr>
                                                        <w:t>Pour renforcer la mobilité européenne des apprentis, les ministres ont acté de renforcer les partenariats entre Etats membres afin de consolider les réseaux européens et de faciliter le recours à la mobilité pour les apprentis.</w:t>
                                                      </w:r>
                                                    </w:p>
                                                    <w:p w:rsidR="001B6678" w:rsidRDefault="001B6678">
                                                      <w:pPr>
                                                        <w:jc w:val="both"/>
                                                        <w:rPr>
                                                          <w:rFonts w:ascii="Arial" w:hAnsi="Arial" w:cs="Arial"/>
                                                          <w:color w:val="3B3838"/>
                                                          <w:sz w:val="21"/>
                                                          <w:szCs w:val="21"/>
                                                        </w:rPr>
                                                      </w:pPr>
                                                    </w:p>
                                                    <w:p w:rsidR="001B6678" w:rsidRDefault="001B6678">
                                                      <w:pPr>
                                                        <w:jc w:val="both"/>
                                                        <w:rPr>
                                                          <w:rFonts w:ascii="Arial" w:hAnsi="Arial" w:cs="Arial"/>
                                                          <w:color w:val="3B3838"/>
                                                          <w:sz w:val="21"/>
                                                          <w:szCs w:val="21"/>
                                                        </w:rPr>
                                                      </w:pPr>
                                                      <w:r>
                                                        <w:rPr>
                                                          <w:rFonts w:ascii="Arial" w:hAnsi="Arial" w:cs="Arial"/>
                                                          <w:color w:val="3B3838"/>
                                                          <w:sz w:val="21"/>
                                                          <w:szCs w:val="21"/>
                                                        </w:rPr>
                                                        <w:t xml:space="preserve">Les réflexions ont également porté sur les dispositifs et les mesures permettant d’accompagner la mobilité dans les différents parcours de formation et d’apprentissage. A cet égard, la Commission européenne a présenté ses réflexions sur les évolutions pour développer la mobilité des apprentis. </w:t>
                                                      </w:r>
                                                    </w:p>
                                                    <w:p w:rsidR="001B6678" w:rsidRDefault="001B6678">
                                                      <w:pPr>
                                                        <w:jc w:val="both"/>
                                                        <w:rPr>
                                                          <w:rFonts w:ascii="Arial" w:hAnsi="Arial" w:cs="Arial"/>
                                                          <w:color w:val="3B3838"/>
                                                          <w:sz w:val="21"/>
                                                          <w:szCs w:val="21"/>
                                                        </w:rPr>
                                                      </w:pPr>
                                                    </w:p>
                                                    <w:p w:rsidR="001B6678" w:rsidRDefault="001B6678">
                                                      <w:pPr>
                                                        <w:jc w:val="both"/>
                                                        <w:rPr>
                                                          <w:rFonts w:ascii="Arial" w:hAnsi="Arial" w:cs="Arial"/>
                                                          <w:color w:val="3B3838"/>
                                                          <w:sz w:val="21"/>
                                                          <w:szCs w:val="21"/>
                                                        </w:rPr>
                                                      </w:pPr>
                                                      <w:r>
                                                        <w:rPr>
                                                          <w:rFonts w:ascii="Arial" w:hAnsi="Arial" w:cs="Arial"/>
                                                          <w:color w:val="3B3838"/>
                                                          <w:sz w:val="21"/>
                                                          <w:szCs w:val="21"/>
                                                        </w:rPr>
                                                        <w:t>Enfin, les ministres ont échangé sur la manière de renforcer l’information sur les dispositifs proposés. Dans ce contexte, Elisabeth Borne a annoncé le lancement d’une page dédiée à l’Europe sur 1jeune1solution.gouv.fr, le site dédié à l’emploi des jeunes en France, pour offrir des opportunités de mobilité européenne aux jeunes français, dans leur parcours de formation ou recherche d’emploi. Les modules « </w:t>
                                                      </w:r>
                                                      <w:r>
                                                        <w:rPr>
                                                          <w:rFonts w:ascii="Arial" w:hAnsi="Arial" w:cs="Arial"/>
                                                          <w:i/>
                                                          <w:iCs/>
                                                          <w:color w:val="3B3838"/>
                                                          <w:sz w:val="21"/>
                                                          <w:szCs w:val="21"/>
                                                        </w:rPr>
                                                        <w:t>je cherche un emploi</w:t>
                                                      </w:r>
                                                      <w:r>
                                                        <w:rPr>
                                                          <w:rFonts w:ascii="Arial" w:hAnsi="Arial" w:cs="Arial"/>
                                                          <w:color w:val="3B3838"/>
                                                          <w:sz w:val="21"/>
                                                          <w:szCs w:val="21"/>
                                                        </w:rPr>
                                                        <w:t> » et « </w:t>
                                                      </w:r>
                                                      <w:r>
                                                        <w:rPr>
                                                          <w:rFonts w:ascii="Arial" w:hAnsi="Arial" w:cs="Arial"/>
                                                          <w:i/>
                                                          <w:iCs/>
                                                          <w:color w:val="3B3838"/>
                                                          <w:sz w:val="21"/>
                                                          <w:szCs w:val="21"/>
                                                        </w:rPr>
                                                        <w:t>je cherche un stage</w:t>
                                                      </w:r>
                                                      <w:r>
                                                        <w:rPr>
                                                          <w:rFonts w:ascii="Arial" w:hAnsi="Arial" w:cs="Arial"/>
                                                          <w:color w:val="3B3838"/>
                                                          <w:sz w:val="21"/>
                                                          <w:szCs w:val="21"/>
                                                        </w:rPr>
                                                        <w:t> » pourront ainsi rediriger les jeunes vers des moteurs de recherches et d’offres européens. Des fonctionnalités « </w:t>
                                                      </w:r>
                                                      <w:r>
                                                        <w:rPr>
                                                          <w:rFonts w:ascii="Arial" w:hAnsi="Arial" w:cs="Arial"/>
                                                          <w:i/>
                                                          <w:iCs/>
                                                          <w:color w:val="3B3838"/>
                                                          <w:sz w:val="21"/>
                                                          <w:szCs w:val="21"/>
                                                        </w:rPr>
                                                        <w:t xml:space="preserve">je cherche à </w:t>
                                                      </w:r>
                                                      <w:r>
                                                        <w:rPr>
                                                          <w:rFonts w:ascii="Arial" w:hAnsi="Arial" w:cs="Arial"/>
                                                          <w:i/>
                                                          <w:iCs/>
                                                          <w:color w:val="000000"/>
                                                          <w:sz w:val="21"/>
                                                          <w:szCs w:val="21"/>
                                                        </w:rPr>
                                                        <w:t>m’</w:t>
                                                      </w:r>
                                                      <w:r>
                                                        <w:rPr>
                                                          <w:rFonts w:ascii="Arial" w:hAnsi="Arial" w:cs="Arial"/>
                                                          <w:i/>
                                                          <w:iCs/>
                                                          <w:color w:val="3B3838"/>
                                                          <w:sz w:val="21"/>
                                                          <w:szCs w:val="21"/>
                                                        </w:rPr>
                                                        <w:t>engager dans une mission en Europe</w:t>
                                                      </w:r>
                                                      <w:r>
                                                        <w:rPr>
                                                          <w:rFonts w:ascii="Arial" w:hAnsi="Arial" w:cs="Arial"/>
                                                          <w:color w:val="3B3838"/>
                                                          <w:sz w:val="21"/>
                                                          <w:szCs w:val="21"/>
                                                        </w:rPr>
                                                        <w:t> » ou « </w:t>
                                                      </w:r>
                                                      <w:r>
                                                        <w:rPr>
                                                          <w:rFonts w:ascii="Arial" w:hAnsi="Arial" w:cs="Arial"/>
                                                          <w:i/>
                                                          <w:iCs/>
                                                          <w:color w:val="3B3838"/>
                                                          <w:sz w:val="21"/>
                                                          <w:szCs w:val="21"/>
                                                        </w:rPr>
                                                        <w:t>je souhaite faire une partie de mon apprentissage en Europe</w:t>
                                                      </w:r>
                                                      <w:r>
                                                        <w:rPr>
                                                          <w:rFonts w:ascii="Arial" w:hAnsi="Arial" w:cs="Arial"/>
                                                          <w:color w:val="3B3838"/>
                                                          <w:sz w:val="21"/>
                                                          <w:szCs w:val="21"/>
                                                        </w:rPr>
                                                        <w:t> », seront également proposées, permettant d’offrir ainsi différents types d’expériences en Europe.</w:t>
                                                      </w:r>
                                                    </w:p>
                                                    <w:p w:rsidR="001B6678" w:rsidRDefault="001B6678">
                                                      <w:pPr>
                                                        <w:pStyle w:val="NormalWeb"/>
                                                        <w:spacing w:before="0" w:beforeAutospacing="0" w:after="0" w:afterAutospacing="0" w:line="330" w:lineRule="exact"/>
                                                        <w:jc w:val="both"/>
                                                        <w:rPr>
                                                          <w:rFonts w:ascii="Arial" w:hAnsi="Arial" w:cs="Arial"/>
                                                          <w:color w:val="3B3838"/>
                                                          <w:sz w:val="21"/>
                                                          <w:szCs w:val="21"/>
                                                        </w:rPr>
                                                      </w:pPr>
                                                    </w:p>
                                                    <w:p w:rsidR="001B6678" w:rsidRDefault="001B6678">
                                                      <w:pPr>
                                                        <w:jc w:val="both"/>
                                                        <w:rPr>
                                                          <w:rFonts w:ascii="Arial" w:hAnsi="Arial" w:cs="Arial"/>
                                                          <w:color w:val="3B3838"/>
                                                          <w:sz w:val="21"/>
                                                          <w:szCs w:val="21"/>
                                                        </w:rPr>
                                                      </w:pPr>
                                                      <w:r>
                                                        <w:rPr>
                                                          <w:rFonts w:ascii="Arial" w:hAnsi="Arial" w:cs="Arial"/>
                                                          <w:color w:val="3B3838"/>
                                                          <w:sz w:val="21"/>
                                                          <w:szCs w:val="21"/>
                                                        </w:rPr>
                                                        <w:t xml:space="preserve">« </w:t>
                                                      </w:r>
                                                      <w:r>
                                                        <w:rPr>
                                                          <w:rFonts w:ascii="Arial" w:hAnsi="Arial" w:cs="Arial"/>
                                                          <w:i/>
                                                          <w:iCs/>
                                                          <w:color w:val="3B3838"/>
                                                          <w:sz w:val="21"/>
                                                          <w:szCs w:val="21"/>
                                                        </w:rPr>
                                                        <w:t xml:space="preserve">L’emploi et la jeunesse sont au cœur des enjeux de la présidence française </w:t>
                                                      </w:r>
                                                      <w:r>
                                                        <w:rPr>
                                                          <w:rFonts w:ascii="Arial" w:hAnsi="Arial" w:cs="Arial"/>
                                                          <w:i/>
                                                          <w:iCs/>
                                                          <w:color w:val="000000"/>
                                                          <w:sz w:val="21"/>
                                                          <w:szCs w:val="21"/>
                                                        </w:rPr>
                                                        <w:t xml:space="preserve">du Conseil </w:t>
                                                      </w:r>
                                                      <w:r>
                                                        <w:rPr>
                                                          <w:rFonts w:ascii="Arial" w:hAnsi="Arial" w:cs="Arial"/>
                                                          <w:i/>
                                                          <w:iCs/>
                                                          <w:color w:val="3B3838"/>
                                                          <w:sz w:val="21"/>
                                                          <w:szCs w:val="21"/>
                                                        </w:rPr>
                                                        <w:t xml:space="preserve">de l’Union européenne. Nous devons faire en sorte qu’Erasmus s’ouvre plus largement à tous les jeunes, quelle que soit leur filière de formation. C’est un enjeu pour développer les compétences de nos jeunes en les ouvrant à de nouveaux savoir-faire et à de nouvelles manières d’apprendre. C’est aussi un enjeu pour renforcer leur sentiment d’appartenance à l’Europe et ainsi contribuer à construire la nouvelle génération des Européens de demain » </w:t>
                                                      </w:r>
                                                      <w:r>
                                                        <w:rPr>
                                                          <w:rFonts w:ascii="Arial" w:hAnsi="Arial" w:cs="Arial"/>
                                                          <w:b/>
                                                          <w:bCs/>
                                                          <w:color w:val="3B3838"/>
                                                          <w:sz w:val="21"/>
                                                          <w:szCs w:val="21"/>
                                                        </w:rPr>
                                                        <w:t>déclare Elisabeth Borne, Ministre française du Travail, de l’Emploi et de l’Insertion.</w:t>
                                                      </w:r>
                                                      <w:r>
                                                        <w:rPr>
                                                          <w:rFonts w:ascii="Arial" w:hAnsi="Arial" w:cs="Arial"/>
                                                          <w:color w:val="3B3838"/>
                                                          <w:sz w:val="21"/>
                                                          <w:szCs w:val="21"/>
                                                        </w:rPr>
                                                        <w:t> </w:t>
                                                      </w:r>
                                                    </w:p>
                                                    <w:p w:rsidR="001B6678" w:rsidRDefault="001B6678">
                                                      <w:pPr>
                                                        <w:jc w:val="both"/>
                                                        <w:rPr>
                                                          <w:rFonts w:ascii="Arial" w:hAnsi="Arial" w:cs="Arial"/>
                                                          <w:color w:val="3B3838"/>
                                                          <w:sz w:val="21"/>
                                                          <w:szCs w:val="21"/>
                                                        </w:rPr>
                                                      </w:pPr>
                                                    </w:p>
                                                    <w:p w:rsidR="001B6678" w:rsidRDefault="001B6678">
                                                      <w:pPr>
                                                        <w:jc w:val="both"/>
                                                        <w:rPr>
                                                          <w:rFonts w:ascii="Arial" w:hAnsi="Arial" w:cs="Arial"/>
                                                          <w:i/>
                                                          <w:iCs/>
                                                          <w:color w:val="3B3838"/>
                                                          <w:sz w:val="21"/>
                                                          <w:szCs w:val="21"/>
                                                        </w:rPr>
                                                      </w:pPr>
                                                      <w:r>
                                                        <w:rPr>
                                                          <w:rFonts w:ascii="Arial" w:hAnsi="Arial" w:cs="Arial"/>
                                                          <w:b/>
                                                          <w:bCs/>
                                                          <w:color w:val="3B3838"/>
                                                          <w:sz w:val="21"/>
                                                          <w:szCs w:val="21"/>
                                                        </w:rPr>
                                                        <w:t xml:space="preserve">Nicolas </w:t>
                                                      </w:r>
                                                      <w:proofErr w:type="spellStart"/>
                                                      <w:r>
                                                        <w:rPr>
                                                          <w:rFonts w:ascii="Arial" w:hAnsi="Arial" w:cs="Arial"/>
                                                          <w:b/>
                                                          <w:bCs/>
                                                          <w:color w:val="3B3838"/>
                                                          <w:sz w:val="21"/>
                                                          <w:szCs w:val="21"/>
                                                        </w:rPr>
                                                        <w:t>Schmit</w:t>
                                                      </w:r>
                                                      <w:proofErr w:type="spellEnd"/>
                                                      <w:r>
                                                        <w:rPr>
                                                          <w:rFonts w:ascii="Arial" w:hAnsi="Arial" w:cs="Arial"/>
                                                          <w:b/>
                                                          <w:bCs/>
                                                          <w:color w:val="3B3838"/>
                                                          <w:sz w:val="21"/>
                                                          <w:szCs w:val="21"/>
                                                        </w:rPr>
                                                        <w:t>, Commissaire européen à l'emploi et aux droits sociaux, a souligné</w:t>
                                                      </w:r>
                                                      <w:proofErr w:type="gramStart"/>
                                                      <w:r>
                                                        <w:rPr>
                                                          <w:rFonts w:ascii="Arial" w:hAnsi="Arial" w:cs="Arial"/>
                                                          <w:color w:val="3B3838"/>
                                                          <w:sz w:val="21"/>
                                                          <w:szCs w:val="21"/>
                                                        </w:rPr>
                                                        <w:t xml:space="preserve"> «</w:t>
                                                      </w:r>
                                                      <w:r>
                                                        <w:rPr>
                                                          <w:rFonts w:ascii="Arial" w:hAnsi="Arial" w:cs="Arial"/>
                                                          <w:i/>
                                                          <w:iCs/>
                                                          <w:color w:val="3B3838"/>
                                                          <w:sz w:val="21"/>
                                                          <w:szCs w:val="21"/>
                                                          <w:lang w:val="fr-BE"/>
                                                        </w:rPr>
                                                        <w:t>Aujourd’hui</w:t>
                                                      </w:r>
                                                      <w:proofErr w:type="gramEnd"/>
                                                      <w:r>
                                                        <w:rPr>
                                                          <w:rFonts w:ascii="Arial" w:hAnsi="Arial" w:cs="Arial"/>
                                                          <w:i/>
                                                          <w:iCs/>
                                                          <w:color w:val="3B3838"/>
                                                          <w:sz w:val="21"/>
                                                          <w:szCs w:val="21"/>
                                                          <w:lang w:val="fr-BE"/>
                                                        </w:rPr>
                                                        <w:t>, de plus en plus d’étudiants ont la possibilité de bénéficier d’une mobilité européenne. Il faut offrir aux apprentis la même possibilité d’une expérience européenne d’autant plus que les financements sont disponibles. La mobilité enrichit l’apprentissage des jeunes qu’elle valorise. La Commission en étroite collaboration avec les États membres entend faciliter la mobilité des jeunes apprentis qui par ce biais pourront développer de nouvelles compétences</w:t>
                                                      </w:r>
                                                      <w:proofErr w:type="gramStart"/>
                                                      <w:r>
                                                        <w:rPr>
                                                          <w:rFonts w:ascii="Arial" w:hAnsi="Arial" w:cs="Arial"/>
                                                          <w:i/>
                                                          <w:iCs/>
                                                          <w:color w:val="3B3838"/>
                                                          <w:sz w:val="21"/>
                                                          <w:szCs w:val="21"/>
                                                        </w:rPr>
                                                        <w:t>.»</w:t>
                                                      </w:r>
                                                      <w:proofErr w:type="gramEnd"/>
                                                    </w:p>
                                                    <w:p w:rsidR="001B6678" w:rsidRDefault="001B6678">
                                                      <w:pPr>
                                                        <w:jc w:val="both"/>
                                                        <w:rPr>
                                                          <w:rFonts w:ascii="Arial" w:hAnsi="Arial" w:cs="Arial"/>
                                                          <w:i/>
                                                          <w:iCs/>
                                                          <w:color w:val="3B3838"/>
                                                          <w:sz w:val="21"/>
                                                          <w:szCs w:val="21"/>
                                                        </w:rPr>
                                                      </w:pPr>
                                                    </w:p>
                                                    <w:p w:rsidR="001B6678" w:rsidRDefault="001B6678">
                                                      <w:pPr>
                                                        <w:jc w:val="both"/>
                                                        <w:rPr>
                                                          <w:rFonts w:ascii="Arial" w:hAnsi="Arial" w:cs="Arial"/>
                                                          <w:i/>
                                                          <w:iCs/>
                                                          <w:color w:val="3B3838"/>
                                                          <w:sz w:val="21"/>
                                                          <w:szCs w:val="21"/>
                                                        </w:rPr>
                                                      </w:pPr>
                                                      <w:bookmarkStart w:id="0" w:name="_GoBack"/>
                                                      <w:bookmarkEnd w:id="0"/>
                                                    </w:p>
                                                    <w:p w:rsidR="001B6678" w:rsidRDefault="001B6678">
                                                      <w:pPr>
                                                        <w:jc w:val="both"/>
                                                        <w:rPr>
                                                          <w:rFonts w:ascii="Arial" w:hAnsi="Arial" w:cs="Arial"/>
                                                          <w:i/>
                                                          <w:iCs/>
                                                          <w:color w:val="3B3838"/>
                                                          <w:sz w:val="21"/>
                                                          <w:szCs w:val="21"/>
                                                        </w:rPr>
                                                      </w:pPr>
                                                    </w:p>
                                                    <w:p w:rsidR="001B6678" w:rsidRDefault="001B6678">
                                                      <w:pPr>
                                                        <w:jc w:val="both"/>
                                                        <w:rPr>
                                                          <w:rFonts w:ascii="Arial" w:hAnsi="Arial" w:cs="Arial"/>
                                                          <w:color w:val="1F497D"/>
                                                          <w:sz w:val="21"/>
                                                          <w:szCs w:val="21"/>
                                                        </w:rPr>
                                                      </w:pPr>
                                                      <w:r>
                                                        <w:rPr>
                                                          <w:rFonts w:ascii="Arial" w:hAnsi="Arial" w:cs="Arial"/>
                                                          <w:color w:val="3B3838"/>
                                                          <w:sz w:val="21"/>
                                                          <w:szCs w:val="21"/>
                                                        </w:rPr>
                                                        <w:lastRenderedPageBreak/>
                                                        <w:t xml:space="preserve">Pour consulter la page du site « 1 jeune, 1 solution » dédiée à </w:t>
                                                      </w:r>
                                                      <w:r>
                                                        <w:rPr>
                                                          <w:rFonts w:ascii="Arial" w:hAnsi="Arial" w:cs="Arial"/>
                                                          <w:color w:val="000000"/>
                                                          <w:sz w:val="21"/>
                                                          <w:szCs w:val="21"/>
                                                        </w:rPr>
                                                        <w:t>l’Europe</w:t>
                                                      </w:r>
                                                      <w:r>
                                                        <w:rPr>
                                                          <w:rFonts w:ascii="Arial" w:hAnsi="Arial" w:cs="Arial"/>
                                                          <w:color w:val="3B3838"/>
                                                          <w:sz w:val="21"/>
                                                          <w:szCs w:val="21"/>
                                                        </w:rPr>
                                                        <w:t> </w:t>
                                                      </w:r>
                                                      <w:r>
                                                        <w:rPr>
                                                          <w:rFonts w:ascii="Arial" w:hAnsi="Arial" w:cs="Arial"/>
                                                          <w:sz w:val="21"/>
                                                          <w:szCs w:val="21"/>
                                                        </w:rPr>
                                                        <w:t>:</w:t>
                                                      </w:r>
                                                      <w:r>
                                                        <w:rPr>
                                                          <w:rFonts w:ascii="Arial" w:hAnsi="Arial" w:cs="Arial"/>
                                                          <w:color w:val="3B3838"/>
                                                          <w:sz w:val="21"/>
                                                          <w:szCs w:val="21"/>
                                                        </w:rPr>
                                                        <w:t xml:space="preserve"> </w:t>
                                                      </w:r>
                                                      <w:hyperlink r:id="rId8" w:history="1">
                                                        <w:r>
                                                          <w:rPr>
                                                            <w:rStyle w:val="Lienhypertexte"/>
                                                            <w:rFonts w:ascii="Arial" w:hAnsi="Arial" w:cs="Arial"/>
                                                            <w:sz w:val="21"/>
                                                            <w:szCs w:val="21"/>
                                                          </w:rPr>
                                                          <w:t>https://www.1jeune1solution.gouv.fr/europe</w:t>
                                                        </w:r>
                                                      </w:hyperlink>
                                                    </w:p>
                                                    <w:p w:rsidR="001B6678" w:rsidRDefault="001B6678">
                                                      <w:pPr>
                                                        <w:jc w:val="both"/>
                                                        <w:rPr>
                                                          <w:rFonts w:ascii="Arial" w:hAnsi="Arial" w:cs="Arial"/>
                                                          <w:b/>
                                                          <w:bCs/>
                                                          <w:i/>
                                                          <w:iCs/>
                                                          <w:color w:val="3B3838"/>
                                                          <w:sz w:val="21"/>
                                                          <w:szCs w:val="21"/>
                                                        </w:rPr>
                                                      </w:pPr>
                                                    </w:p>
                                                  </w:tc>
                                                </w:tr>
                                              </w:tbl>
                                              <w:tbl>
                                                <w:tblPr>
                                                  <w:tblW w:w="0" w:type="auto"/>
                                                  <w:jc w:val="center"/>
                                                  <w:tblCellMar>
                                                    <w:left w:w="0" w:type="dxa"/>
                                                    <w:right w:w="0" w:type="dxa"/>
                                                  </w:tblCellMar>
                                                  <w:tblLook w:val="04A0" w:firstRow="1" w:lastRow="0" w:firstColumn="1" w:lastColumn="0" w:noHBand="0" w:noVBand="1"/>
                                                </w:tblPr>
                                                <w:tblGrid>
                                                  <w:gridCol w:w="38"/>
                                                </w:tblGrid>
                                                <w:tr w:rsidR="001B6678">
                                                  <w:trPr>
                                                    <w:trHeight w:val="150"/>
                                                    <w:jc w:val="center"/>
                                                  </w:trPr>
                                                  <w:tc>
                                                    <w:tcPr>
                                                      <w:tcW w:w="0" w:type="auto"/>
                                                      <w:vAlign w:val="center"/>
                                                      <w:hideMark/>
                                                    </w:tcPr>
                                                    <w:p w:rsidR="001B6678" w:rsidRDefault="001B6678">
                                                      <w:pPr>
                                                        <w:spacing w:line="150" w:lineRule="exact"/>
                                                        <w:jc w:val="both"/>
                                                        <w:rPr>
                                                          <w:sz w:val="15"/>
                                                          <w:szCs w:val="15"/>
                                                        </w:rPr>
                                                      </w:pPr>
                                                      <w:r>
                                                        <w:rPr>
                                                          <w:sz w:val="15"/>
                                                          <w:szCs w:val="15"/>
                                                        </w:rPr>
                                                        <w:lastRenderedPageBreak/>
                                                        <w:t xml:space="preserve">  </w:t>
                                                      </w:r>
                                                    </w:p>
                                                  </w:tc>
                                                </w:tr>
                                              </w:tbl>
                                              <w:p w:rsidR="001B6678" w:rsidRDefault="001B6678">
                                                <w:pPr>
                                                  <w:jc w:val="center"/>
                                                  <w:rPr>
                                                    <w:rFonts w:eastAsia="Times New Roman"/>
                                                    <w:sz w:val="20"/>
                                                    <w:szCs w:val="20"/>
                                                  </w:rPr>
                                                </w:pPr>
                                              </w:p>
                                            </w:tc>
                                          </w:tr>
                                        </w:tbl>
                                        <w:p w:rsidR="001B6678" w:rsidRDefault="001B6678">
                                          <w:pPr>
                                            <w:rPr>
                                              <w:rFonts w:eastAsia="Times New Roman"/>
                                              <w:sz w:val="20"/>
                                              <w:szCs w:val="20"/>
                                            </w:rPr>
                                          </w:pPr>
                                        </w:p>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shd w:val="clear" w:color="auto" w:fill="FFFFFF"/>
                              <w:vAlign w:val="center"/>
                              <w:hideMark/>
                            </w:tcPr>
                            <w:p w:rsidR="001B6678" w:rsidRDefault="001B6678">
                              <w:pPr>
                                <w:rPr>
                                  <w:rFonts w:eastAsia="Times New Roman"/>
                                  <w:sz w:val="20"/>
                                  <w:szCs w:val="20"/>
                                </w:rPr>
                              </w:pPr>
                            </w:p>
                          </w:tc>
                        </w:tr>
                      </w:tbl>
                      <w:p w:rsidR="001B6678" w:rsidRDefault="001B6678">
                        <w:pPr>
                          <w:rPr>
                            <w:rFonts w:eastAsia="Times New Roman"/>
                            <w:sz w:val="20"/>
                            <w:szCs w:val="20"/>
                          </w:rPr>
                        </w:pPr>
                      </w:p>
                    </w:tc>
                  </w:tr>
                </w:tbl>
                <w:p w:rsidR="001B6678" w:rsidRDefault="001B6678"/>
                <w:tbl>
                  <w:tblPr>
                    <w:tblW w:w="5000" w:type="pct"/>
                    <w:tblCellMar>
                      <w:left w:w="0" w:type="dxa"/>
                      <w:right w:w="0" w:type="dxa"/>
                    </w:tblCellMar>
                    <w:tblLook w:val="04A0" w:firstRow="1" w:lastRow="0" w:firstColumn="1" w:lastColumn="0" w:noHBand="0" w:noVBand="1"/>
                  </w:tblPr>
                  <w:tblGrid>
                    <w:gridCol w:w="9072"/>
                  </w:tblGrid>
                  <w:tr w:rsidR="001B6678">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1B6678">
                          <w:tc>
                            <w:tcPr>
                              <w:tcW w:w="150" w:type="dxa"/>
                              <w:shd w:val="clear" w:color="auto" w:fill="FFFFFF"/>
                              <w:vAlign w:val="center"/>
                              <w:hideMark/>
                            </w:tcPr>
                            <w:p w:rsidR="001B6678" w:rsidRDefault="001B6678"/>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1B667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1B6678">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1B667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1B6678">
                                                  <w:tc>
                                                    <w:tcPr>
                                                      <w:tcW w:w="0" w:type="auto"/>
                                                      <w:vAlign w:val="center"/>
                                                      <w:hideMark/>
                                                    </w:tcPr>
                                                    <w:p w:rsidR="001B6678" w:rsidRDefault="001B667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1B6678" w:rsidRDefault="001B667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1B6678" w:rsidRDefault="001B667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1B6678" w:rsidRDefault="001B6678">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1B6678" w:rsidRDefault="001B6678">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9" w:history="1">
                                                        <w:r>
                                                          <w:rPr>
                                                            <w:rStyle w:val="Lienhypertexte"/>
                                                            <w:rFonts w:ascii="Arial" w:hAnsi="Arial" w:cs="Arial"/>
                                                            <w:sz w:val="18"/>
                                                            <w:szCs w:val="18"/>
                                                          </w:rPr>
                                                          <w:t>sec.presse.travail@cab.travail.gouv.fr</w:t>
                                                        </w:r>
                                                      </w:hyperlink>
                                                    </w:p>
                                                  </w:tc>
                                                </w:tr>
                                              </w:tbl>
                                              <w:p w:rsidR="001B6678" w:rsidRDefault="001B6678">
                                                <w:pPr>
                                                  <w:rPr>
                                                    <w:rFonts w:eastAsia="Times New Roman"/>
                                                    <w:sz w:val="20"/>
                                                    <w:szCs w:val="20"/>
                                                  </w:rPr>
                                                </w:pPr>
                                              </w:p>
                                            </w:tc>
                                          </w:tr>
                                        </w:tbl>
                                        <w:p w:rsidR="001B6678" w:rsidRDefault="001B6678">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1B667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1B6678">
                                                  <w:trPr>
                                                    <w:trHeight w:val="960"/>
                                                    <w:jc w:val="center"/>
                                                  </w:trPr>
                                                  <w:tc>
                                                    <w:tcPr>
                                                      <w:tcW w:w="0" w:type="auto"/>
                                                      <w:vAlign w:val="center"/>
                                                      <w:hideMark/>
                                                    </w:tcPr>
                                                    <w:p w:rsidR="001B6678" w:rsidRDefault="001B6678">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1B6678">
                                                  <w:tc>
                                                    <w:tcPr>
                                                      <w:tcW w:w="0" w:type="auto"/>
                                                      <w:vAlign w:val="center"/>
                                                      <w:hideMark/>
                                                    </w:tcPr>
                                                    <w:p w:rsidR="001B6678" w:rsidRDefault="001B6678">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1B6678" w:rsidRDefault="001B6678">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1B6678" w:rsidRDefault="001B6678">
                                                <w:pPr>
                                                  <w:rPr>
                                                    <w:rFonts w:eastAsia="Times New Roman"/>
                                                    <w:sz w:val="20"/>
                                                    <w:szCs w:val="20"/>
                                                  </w:rPr>
                                                </w:pPr>
                                              </w:p>
                                            </w:tc>
                                          </w:tr>
                                        </w:tbl>
                                        <w:p w:rsidR="001B6678" w:rsidRDefault="001B6678">
                                          <w:pPr>
                                            <w:rPr>
                                              <w:rFonts w:eastAsia="Times New Roman"/>
                                              <w:sz w:val="20"/>
                                              <w:szCs w:val="20"/>
                                            </w:rPr>
                                          </w:pPr>
                                        </w:p>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shd w:val="clear" w:color="auto" w:fill="FFFFFF"/>
                              <w:vAlign w:val="center"/>
                              <w:hideMark/>
                            </w:tcPr>
                            <w:p w:rsidR="001B6678" w:rsidRDefault="001B6678">
                              <w:pPr>
                                <w:rPr>
                                  <w:rFonts w:eastAsia="Times New Roman"/>
                                  <w:sz w:val="20"/>
                                  <w:szCs w:val="20"/>
                                </w:rPr>
                              </w:pPr>
                            </w:p>
                          </w:tc>
                        </w:tr>
                      </w:tbl>
                      <w:p w:rsidR="001B6678" w:rsidRDefault="001B6678">
                        <w:pPr>
                          <w:rPr>
                            <w:rFonts w:eastAsia="Times New Roman"/>
                            <w:sz w:val="20"/>
                            <w:szCs w:val="20"/>
                          </w:rPr>
                        </w:pPr>
                      </w:p>
                    </w:tc>
                  </w:tr>
                  <w:tr w:rsidR="001B6678">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B6678">
                          <w:tc>
                            <w:tcPr>
                              <w:tcW w:w="150" w:type="dxa"/>
                              <w:shd w:val="clear" w:color="auto" w:fill="FFFFFF"/>
                              <w:vAlign w:val="center"/>
                              <w:hideMark/>
                            </w:tcPr>
                            <w:p w:rsidR="001B6678" w:rsidRDefault="001B667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B667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B667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1B667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B6678">
                                                  <w:tc>
                                                    <w:tcPr>
                                                      <w:tcW w:w="0" w:type="auto"/>
                                                      <w:vAlign w:val="center"/>
                                                      <w:hideMark/>
                                                    </w:tcPr>
                                                    <w:p w:rsidR="001B6678" w:rsidRDefault="001B6678">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B6678" w:rsidRDefault="001B6678">
                                                <w:pPr>
                                                  <w:rPr>
                                                    <w:rFonts w:eastAsia="Times New Roman"/>
                                                    <w:sz w:val="20"/>
                                                    <w:szCs w:val="20"/>
                                                  </w:rPr>
                                                </w:pPr>
                                              </w:p>
                                            </w:tc>
                                          </w:tr>
                                        </w:tbl>
                                        <w:p w:rsidR="001B6678" w:rsidRDefault="001B6678">
                                          <w:pPr>
                                            <w:rPr>
                                              <w:rFonts w:eastAsia="Times New Roman"/>
                                              <w:sz w:val="20"/>
                                              <w:szCs w:val="20"/>
                                            </w:rPr>
                                          </w:pPr>
                                        </w:p>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shd w:val="clear" w:color="auto" w:fill="FFFFFF"/>
                              <w:vAlign w:val="center"/>
                              <w:hideMark/>
                            </w:tcPr>
                            <w:p w:rsidR="001B6678" w:rsidRDefault="001B6678">
                              <w:pPr>
                                <w:rPr>
                                  <w:rFonts w:eastAsia="Times New Roman"/>
                                  <w:sz w:val="20"/>
                                  <w:szCs w:val="20"/>
                                </w:rPr>
                              </w:pPr>
                            </w:p>
                          </w:tc>
                        </w:tr>
                      </w:tbl>
                      <w:p w:rsidR="001B6678" w:rsidRDefault="001B6678">
                        <w:pPr>
                          <w:rPr>
                            <w:vanish/>
                          </w:rPr>
                        </w:pPr>
                      </w:p>
                      <w:tbl>
                        <w:tblPr>
                          <w:tblW w:w="5000" w:type="pct"/>
                          <w:tblCellMar>
                            <w:left w:w="0" w:type="dxa"/>
                            <w:right w:w="0" w:type="dxa"/>
                          </w:tblCellMar>
                          <w:tblLook w:val="04A0" w:firstRow="1" w:lastRow="0" w:firstColumn="1" w:lastColumn="0" w:noHBand="0" w:noVBand="1"/>
                        </w:tblPr>
                        <w:tblGrid>
                          <w:gridCol w:w="9072"/>
                        </w:tblGrid>
                        <w:tr w:rsidR="001B6678">
                          <w:trPr>
                            <w:trHeight w:val="150"/>
                          </w:trPr>
                          <w:tc>
                            <w:tcPr>
                              <w:tcW w:w="9750" w:type="dxa"/>
                              <w:shd w:val="clear" w:color="auto" w:fill="FFFFFF"/>
                              <w:tcMar>
                                <w:top w:w="0" w:type="dxa"/>
                                <w:left w:w="150" w:type="dxa"/>
                                <w:bottom w:w="0" w:type="dxa"/>
                                <w:right w:w="150" w:type="dxa"/>
                              </w:tcMar>
                              <w:vAlign w:val="center"/>
                              <w:hideMark/>
                            </w:tcPr>
                            <w:p w:rsidR="001B6678" w:rsidRDefault="001B6678">
                              <w:pPr>
                                <w:spacing w:line="150" w:lineRule="exact"/>
                                <w:rPr>
                                  <w:sz w:val="15"/>
                                  <w:szCs w:val="15"/>
                                </w:rPr>
                              </w:pPr>
                              <w:r>
                                <w:rPr>
                                  <w:sz w:val="15"/>
                                  <w:szCs w:val="15"/>
                                </w:rPr>
                                <w:t xml:space="preserve">  </w:t>
                              </w:r>
                            </w:p>
                          </w:tc>
                        </w:tr>
                      </w:tbl>
                      <w:p w:rsidR="001B6678" w:rsidRDefault="001B6678">
                        <w:pPr>
                          <w:rPr>
                            <w:sz w:val="20"/>
                            <w:szCs w:val="20"/>
                          </w:rPr>
                        </w:pPr>
                      </w:p>
                    </w:tc>
                  </w:tr>
                </w:tbl>
                <w:p w:rsidR="001B6678" w:rsidRDefault="001B6678"/>
                <w:tbl>
                  <w:tblPr>
                    <w:tblW w:w="5000" w:type="pct"/>
                    <w:shd w:val="clear" w:color="auto" w:fill="FFFFFF"/>
                    <w:tblCellMar>
                      <w:left w:w="0" w:type="dxa"/>
                      <w:right w:w="0" w:type="dxa"/>
                    </w:tblCellMar>
                    <w:tblLook w:val="04A0" w:firstRow="1" w:lastRow="0" w:firstColumn="1" w:lastColumn="0" w:noHBand="0" w:noVBand="1"/>
                  </w:tblPr>
                  <w:tblGrid>
                    <w:gridCol w:w="9072"/>
                  </w:tblGrid>
                  <w:tr w:rsidR="001B667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B6678">
                          <w:tc>
                            <w:tcPr>
                              <w:tcW w:w="150" w:type="dxa"/>
                              <w:vAlign w:val="center"/>
                              <w:hideMark/>
                            </w:tcPr>
                            <w:p w:rsidR="001B6678" w:rsidRDefault="001B6678"/>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B667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B667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B6678">
                                            <w:tc>
                                              <w:tcPr>
                                                <w:tcW w:w="0" w:type="auto"/>
                                                <w:tcMar>
                                                  <w:top w:w="300" w:type="dxa"/>
                                                  <w:left w:w="300" w:type="dxa"/>
                                                  <w:bottom w:w="300" w:type="dxa"/>
                                                  <w:right w:w="300" w:type="dxa"/>
                                                </w:tcMar>
                                                <w:vAlign w:val="center"/>
                                                <w:hideMark/>
                                              </w:tcPr>
                                              <w:p w:rsidR="001B6678" w:rsidRDefault="001B6678">
                                                <w:pPr>
                                                  <w:rPr>
                                                    <w:rFonts w:eastAsia="Times New Roman"/>
                                                    <w:sz w:val="20"/>
                                                    <w:szCs w:val="20"/>
                                                  </w:rPr>
                                                </w:pPr>
                                              </w:p>
                                            </w:tc>
                                          </w:tr>
                                        </w:tbl>
                                        <w:p w:rsidR="001B6678" w:rsidRDefault="001B6678">
                                          <w:pPr>
                                            <w:rPr>
                                              <w:rFonts w:eastAsia="Times New Roman"/>
                                              <w:sz w:val="20"/>
                                              <w:szCs w:val="20"/>
                                            </w:rPr>
                                          </w:pPr>
                                        </w:p>
                                      </w:tc>
                                    </w:tr>
                                  </w:tbl>
                                  <w:p w:rsidR="001B6678" w:rsidRDefault="001B6678">
                                    <w:pPr>
                                      <w:jc w:val="center"/>
                                      <w:rPr>
                                        <w:rFonts w:eastAsia="Times New Roman"/>
                                        <w:sz w:val="20"/>
                                        <w:szCs w:val="20"/>
                                      </w:rPr>
                                    </w:pPr>
                                  </w:p>
                                </w:tc>
                              </w:tr>
                            </w:tbl>
                            <w:p w:rsidR="001B6678" w:rsidRDefault="001B6678">
                              <w:pPr>
                                <w:jc w:val="center"/>
                                <w:rPr>
                                  <w:rFonts w:eastAsia="Times New Roman"/>
                                  <w:sz w:val="20"/>
                                  <w:szCs w:val="20"/>
                                </w:rPr>
                              </w:pPr>
                            </w:p>
                          </w:tc>
                          <w:tc>
                            <w:tcPr>
                              <w:tcW w:w="150" w:type="dxa"/>
                              <w:vAlign w:val="center"/>
                              <w:hideMark/>
                            </w:tcPr>
                            <w:p w:rsidR="001B6678" w:rsidRDefault="001B6678">
                              <w:pPr>
                                <w:rPr>
                                  <w:rFonts w:eastAsia="Times New Roman"/>
                                  <w:sz w:val="20"/>
                                  <w:szCs w:val="20"/>
                                </w:rPr>
                              </w:pPr>
                            </w:p>
                          </w:tc>
                        </w:tr>
                      </w:tbl>
                      <w:p w:rsidR="001B6678" w:rsidRDefault="001B6678">
                        <w:pPr>
                          <w:rPr>
                            <w:rFonts w:eastAsia="Times New Roman"/>
                            <w:sz w:val="20"/>
                            <w:szCs w:val="20"/>
                          </w:rPr>
                        </w:pPr>
                      </w:p>
                    </w:tc>
                  </w:tr>
                </w:tbl>
                <w:p w:rsidR="001B6678" w:rsidRDefault="001B6678">
                  <w:pPr>
                    <w:rPr>
                      <w:sz w:val="20"/>
                      <w:szCs w:val="20"/>
                    </w:rPr>
                  </w:pPr>
                </w:p>
              </w:tc>
            </w:tr>
          </w:tbl>
          <w:p w:rsidR="001B6678" w:rsidRDefault="001B6678">
            <w:pPr>
              <w:jc w:val="center"/>
              <w:rPr>
                <w:rFonts w:eastAsia="Times New Roman"/>
                <w:sz w:val="20"/>
                <w:szCs w:val="20"/>
              </w:rPr>
            </w:pPr>
          </w:p>
        </w:tc>
      </w:tr>
    </w:tbl>
    <w:p w:rsidR="00006DD9" w:rsidRDefault="00006DD9"/>
    <w:sectPr w:rsidR="00006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78"/>
    <w:rsid w:val="00006DD9"/>
    <w:rsid w:val="001B6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34B4"/>
  <w15:chartTrackingRefBased/>
  <w15:docId w15:val="{B9891A1A-8974-4203-8CAD-A02CEAD0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7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B6678"/>
    <w:rPr>
      <w:color w:val="0000FF"/>
      <w:u w:val="single"/>
    </w:rPr>
  </w:style>
  <w:style w:type="paragraph" w:styleId="NormalWeb">
    <w:name w:val="Normal (Web)"/>
    <w:basedOn w:val="Normal"/>
    <w:uiPriority w:val="99"/>
    <w:semiHidden/>
    <w:unhideWhenUsed/>
    <w:rsid w:val="001B6678"/>
    <w:pPr>
      <w:spacing w:before="100" w:beforeAutospacing="1" w:after="100" w:afterAutospacing="1"/>
    </w:pPr>
  </w:style>
  <w:style w:type="character" w:styleId="lev">
    <w:name w:val="Strong"/>
    <w:basedOn w:val="Policepardfaut"/>
    <w:uiPriority w:val="22"/>
    <w:qFormat/>
    <w:rsid w:val="001B6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6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eune1solution.gouv.fr/europe" TargetMode="External"/><Relationship Id="rId3" Type="http://schemas.openxmlformats.org/officeDocument/2006/relationships/webSettings" Target="webSettings.xml"/><Relationship Id="rId7" Type="http://schemas.openxmlformats.org/officeDocument/2006/relationships/hyperlink" Target="https://www.consilium.europa.eu/fr/press/press-releases/2021/05/08/the-porto-declar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80E1E.2FAF877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DDC-RGPD-CAB@ddc.social.gouv.fr" TargetMode="External"/><Relationship Id="rId4" Type="http://schemas.openxmlformats.org/officeDocument/2006/relationships/image" Target="media/image1.png"/><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4711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2022-01-20T16:12:00Z</dcterms:created>
  <dcterms:modified xsi:type="dcterms:W3CDTF">2022-01-20T16:14:00Z</dcterms:modified>
</cp:coreProperties>
</file>