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C41" w:rsidRDefault="001B3C41" w:rsidP="00C62C19">
      <w:pPr>
        <w:spacing w:line="276" w:lineRule="auto"/>
      </w:pPr>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1B3C41" w:rsidTr="001B3C4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256"/>
            </w:tblGrid>
            <w:tr w:rsidR="001B3C41">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256"/>
                  </w:tblGrid>
                  <w:tr w:rsidR="001B3C4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vAlign w:val="center"/>
                              <w:hideMark/>
                            </w:tcPr>
                            <w:p w:rsidR="001B3C41" w:rsidRDefault="001B3C41" w:rsidP="00C62C19">
                              <w:pPr>
                                <w:spacing w:line="276" w:lineRule="auto"/>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tcMar>
                                                  <w:top w:w="300" w:type="dxa"/>
                                                  <w:left w:w="300" w:type="dxa"/>
                                                  <w:bottom w:w="75" w:type="dxa"/>
                                                  <w:right w:w="300" w:type="dxa"/>
                                                </w:tcMar>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r w:rsidR="001B3C4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256"/>
                        </w:tblGrid>
                        <w:tr w:rsidR="001B3C41">
                          <w:trPr>
                            <w:trHeight w:val="150"/>
                          </w:trPr>
                          <w:tc>
                            <w:tcPr>
                              <w:tcW w:w="9750" w:type="dxa"/>
                              <w:shd w:val="clear" w:color="auto" w:fill="FFFFFF"/>
                              <w:tcMar>
                                <w:top w:w="0" w:type="dxa"/>
                                <w:left w:w="150" w:type="dxa"/>
                                <w:bottom w:w="0" w:type="dxa"/>
                                <w:right w:w="150" w:type="dxa"/>
                              </w:tcMar>
                              <w:vAlign w:val="center"/>
                              <w:hideMark/>
                            </w:tcPr>
                            <w:p w:rsidR="001B3C41" w:rsidRDefault="001B3C41" w:rsidP="00C62C19">
                              <w:pPr>
                                <w:spacing w:line="276" w:lineRule="auto"/>
                                <w:rPr>
                                  <w:rFonts w:eastAsia="Times New Roman"/>
                                  <w:sz w:val="15"/>
                                  <w:szCs w:val="15"/>
                                </w:rPr>
                              </w:pPr>
                              <w:r>
                                <w:rPr>
                                  <w:rFonts w:eastAsia="Times New Roman"/>
                                  <w:sz w:val="15"/>
                                  <w:szCs w:val="15"/>
                                </w:rPr>
                                <w:t xml:space="preserve">  </w:t>
                              </w:r>
                            </w:p>
                          </w:tc>
                        </w:tr>
                      </w:tbl>
                      <w:p w:rsidR="001B3C41" w:rsidRDefault="001B3C41" w:rsidP="00C62C19">
                        <w:pPr>
                          <w:spacing w:line="276" w:lineRule="auto"/>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1B3C41">
                          <w:trPr>
                            <w:hidden/>
                          </w:trPr>
                          <w:tc>
                            <w:tcPr>
                              <w:tcW w:w="150" w:type="dxa"/>
                              <w:shd w:val="clear" w:color="auto" w:fill="FFFFFF"/>
                              <w:vAlign w:val="center"/>
                              <w:hideMark/>
                            </w:tcPr>
                            <w:p w:rsidR="001B3C41" w:rsidRDefault="001B3C41" w:rsidP="00C62C19">
                              <w:pPr>
                                <w:spacing w:line="276" w:lineRule="auto"/>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B3C41">
                                                        <w:tc>
                                                          <w:tcPr>
                                                            <w:tcW w:w="0" w:type="auto"/>
                                                            <w:vAlign w:val="center"/>
                                                            <w:hideMark/>
                                                          </w:tcPr>
                                                          <w:p w:rsidR="001B3C41" w:rsidRDefault="001B3C41" w:rsidP="00C62C19">
                                                            <w:pPr>
                                                              <w:spacing w:line="276" w:lineRule="auto"/>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1B3C41">
                                                  <w:trPr>
                                                    <w:trHeight w:val="300"/>
                                                    <w:jc w:val="center"/>
                                                  </w:trPr>
                                                  <w:tc>
                                                    <w:tcPr>
                                                      <w:tcW w:w="0" w:type="auto"/>
                                                      <w:vAlign w:val="center"/>
                                                      <w:hideMark/>
                                                    </w:tcPr>
                                                    <w:p w:rsidR="001B3C41" w:rsidRDefault="001B3C41" w:rsidP="00C62C19">
                                                      <w:pPr>
                                                        <w:spacing w:line="276" w:lineRule="auto"/>
                                                        <w:rPr>
                                                          <w:rFonts w:eastAsia="Times New Roman"/>
                                                          <w:sz w:val="30"/>
                                                          <w:szCs w:val="30"/>
                                                        </w:rPr>
                                                      </w:pPr>
                                                      <w:r>
                                                        <w:rPr>
                                                          <w:rFonts w:eastAsia="Times New Roman"/>
                                                          <w:sz w:val="30"/>
                                                          <w:szCs w:val="30"/>
                                                        </w:rPr>
                                                        <w:t xml:space="preserve">  </w:t>
                                                      </w: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rPr>
                  </w:pPr>
                </w:p>
                <w:tbl>
                  <w:tblPr>
                    <w:tblW w:w="5000" w:type="pct"/>
                    <w:tblCellMar>
                      <w:left w:w="0" w:type="dxa"/>
                      <w:right w:w="0" w:type="dxa"/>
                    </w:tblCellMar>
                    <w:tblLook w:val="04A0" w:firstRow="1" w:lastRow="0" w:firstColumn="1" w:lastColumn="0" w:noHBand="0" w:noVBand="1"/>
                  </w:tblPr>
                  <w:tblGrid>
                    <w:gridCol w:w="10256"/>
                  </w:tblGrid>
                  <w:tr w:rsidR="001B3C4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shd w:val="clear" w:color="auto" w:fill="FFFFFF"/>
                              <w:vAlign w:val="center"/>
                              <w:hideMark/>
                            </w:tcPr>
                            <w:p w:rsidR="001B3C41" w:rsidRDefault="001B3C41" w:rsidP="00C62C19">
                              <w:pPr>
                                <w:spacing w:line="276" w:lineRule="auto"/>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B3C41">
                                                  <w:tc>
                                                    <w:tcPr>
                                                      <w:tcW w:w="0" w:type="auto"/>
                                                      <w:vAlign w:val="center"/>
                                                      <w:hideMark/>
                                                    </w:tcPr>
                                                    <w:p w:rsidR="001B3C41" w:rsidRDefault="001B3C41" w:rsidP="00C62C19">
                                                      <w:pPr>
                                                        <w:pStyle w:val="NormalWeb"/>
                                                        <w:spacing w:before="0" w:beforeAutospacing="0" w:after="0" w:afterAutospacing="0" w:line="276" w:lineRule="auto"/>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B3C41">
                                                  <w:trPr>
                                                    <w:trHeight w:val="300"/>
                                                    <w:jc w:val="center"/>
                                                  </w:trPr>
                                                  <w:tc>
                                                    <w:tcPr>
                                                      <w:tcW w:w="0" w:type="auto"/>
                                                      <w:vAlign w:val="center"/>
                                                      <w:hideMark/>
                                                    </w:tcPr>
                                                    <w:p w:rsidR="001B3C41" w:rsidRDefault="001B3C41" w:rsidP="00C62C19">
                                                      <w:pPr>
                                                        <w:spacing w:line="276" w:lineRule="auto"/>
                                                        <w:rPr>
                                                          <w:rFonts w:eastAsia="Times New Roman"/>
                                                          <w:sz w:val="30"/>
                                                          <w:szCs w:val="30"/>
                                                        </w:rPr>
                                                      </w:pPr>
                                                      <w:r>
                                                        <w:rPr>
                                                          <w:rFonts w:eastAsia="Times New Roman"/>
                                                          <w:sz w:val="30"/>
                                                          <w:szCs w:val="30"/>
                                                        </w:rPr>
                                                        <w:t xml:space="preserve">  </w:t>
                                                      </w: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r w:rsidR="001B3C4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shd w:val="clear" w:color="auto" w:fill="FFFFFF"/>
                              <w:vAlign w:val="center"/>
                              <w:hideMark/>
                            </w:tcPr>
                            <w:p w:rsidR="001B3C41" w:rsidRDefault="001B3C41" w:rsidP="00C62C19">
                              <w:pPr>
                                <w:spacing w:line="276" w:lineRule="auto"/>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B3C41">
                                                  <w:tc>
                                                    <w:tcPr>
                                                      <w:tcW w:w="0" w:type="auto"/>
                                                      <w:vAlign w:val="center"/>
                                                      <w:hideMark/>
                                                    </w:tcPr>
                                                    <w:p w:rsidR="001B3C41" w:rsidRDefault="001B3C41" w:rsidP="00C62C19">
                                                      <w:pPr>
                                                        <w:pStyle w:val="NormalWeb"/>
                                                        <w:spacing w:before="0" w:beforeAutospacing="0" w:after="0" w:afterAutospacing="0" w:line="276" w:lineRule="auto"/>
                                                        <w:jc w:val="right"/>
                                                        <w:rPr>
                                                          <w:rFonts w:ascii="Arial" w:hAnsi="Arial" w:cs="Arial"/>
                                                          <w:color w:val="393939"/>
                                                          <w:sz w:val="26"/>
                                                          <w:szCs w:val="26"/>
                                                        </w:rPr>
                                                      </w:pPr>
                                                      <w:r>
                                                        <w:rPr>
                                                          <w:rFonts w:ascii="Arial" w:hAnsi="Arial" w:cs="Arial"/>
                                                          <w:i/>
                                                          <w:iCs/>
                                                          <w:color w:val="000000"/>
                                                          <w:sz w:val="18"/>
                                                          <w:szCs w:val="18"/>
                                                          <w:lang w:eastAsia="en-US"/>
                                                        </w:rPr>
                                                        <w:t>Paris, le 05 août 2021</w:t>
                                                      </w: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rPr>
                  </w:pPr>
                </w:p>
                <w:tbl>
                  <w:tblPr>
                    <w:tblW w:w="5000" w:type="pct"/>
                    <w:tblCellMar>
                      <w:left w:w="0" w:type="dxa"/>
                      <w:right w:w="0" w:type="dxa"/>
                    </w:tblCellMar>
                    <w:tblLook w:val="04A0" w:firstRow="1" w:lastRow="0" w:firstColumn="1" w:lastColumn="0" w:noHBand="0" w:noVBand="1"/>
                  </w:tblPr>
                  <w:tblGrid>
                    <w:gridCol w:w="10256"/>
                  </w:tblGrid>
                  <w:tr w:rsidR="001B3C4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shd w:val="clear" w:color="auto" w:fill="FFFFFF"/>
                              <w:vAlign w:val="center"/>
                              <w:hideMark/>
                            </w:tcPr>
                            <w:p w:rsidR="001B3C41" w:rsidRDefault="001B3C41" w:rsidP="00C62C19">
                              <w:pPr>
                                <w:spacing w:line="276" w:lineRule="auto"/>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538"/>
                                      <w:gridCol w:w="1212"/>
                                    </w:tblGrid>
                                    <w:tr w:rsidR="001B3C41">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8538"/>
                                          </w:tblGrid>
                                          <w:tr w:rsidR="001B3C41">
                                            <w:tc>
                                              <w:tcPr>
                                                <w:tcW w:w="0" w:type="auto"/>
                                                <w:tcMar>
                                                  <w:top w:w="300" w:type="dxa"/>
                                                  <w:left w:w="300" w:type="dxa"/>
                                                  <w:bottom w:w="300" w:type="dxa"/>
                                                  <w:right w:w="300" w:type="dxa"/>
                                                </w:tcMar>
                                                <w:vAlign w:val="center"/>
                                                <w:hideMark/>
                                              </w:tcPr>
                                              <w:tbl>
                                                <w:tblPr>
                                                  <w:tblpPr w:vertAnchor="text"/>
                                                  <w:tblW w:w="7938" w:type="dxa"/>
                                                  <w:tblCellMar>
                                                    <w:left w:w="0" w:type="dxa"/>
                                                    <w:right w:w="0" w:type="dxa"/>
                                                  </w:tblCellMar>
                                                  <w:tblLook w:val="04A0" w:firstRow="1" w:lastRow="0" w:firstColumn="1" w:lastColumn="0" w:noHBand="0" w:noVBand="1"/>
                                                </w:tblPr>
                                                <w:tblGrid>
                                                  <w:gridCol w:w="7938"/>
                                                </w:tblGrid>
                                                <w:tr w:rsidR="001B3C41" w:rsidTr="001B3C41">
                                                  <w:tc>
                                                    <w:tcPr>
                                                      <w:tcW w:w="5000" w:type="pct"/>
                                                      <w:vAlign w:val="center"/>
                                                      <w:hideMark/>
                                                    </w:tcPr>
                                                    <w:p w:rsidR="001B3C41" w:rsidRDefault="001B3C41" w:rsidP="00C62C1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393939"/>
                                                          <w:lang w:eastAsia="en-US"/>
                                                        </w:rPr>
                                                        <w:t>Mesures en faveur des intermittents du spectacle et de l’audiovisuel à compter du 1er septembre 2021</w:t>
                                                      </w: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1212"/>
                                          </w:tblGrid>
                                          <w:tr w:rsidR="001B3C4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B3C41">
                                                  <w:trPr>
                                                    <w:trHeight w:val="300"/>
                                                    <w:jc w:val="center"/>
                                                  </w:trPr>
                                                  <w:tc>
                                                    <w:tcPr>
                                                      <w:tcW w:w="0" w:type="auto"/>
                                                      <w:vAlign w:val="center"/>
                                                      <w:hideMark/>
                                                    </w:tcPr>
                                                    <w:p w:rsidR="001B3C41" w:rsidRDefault="001B3C41" w:rsidP="00C62C19">
                                                      <w:pPr>
                                                        <w:spacing w:line="276" w:lineRule="auto"/>
                                                        <w:rPr>
                                                          <w:rFonts w:eastAsia="Times New Roman"/>
                                                          <w:sz w:val="30"/>
                                                          <w:szCs w:val="30"/>
                                                        </w:rPr>
                                                      </w:pPr>
                                                      <w:r>
                                                        <w:rPr>
                                                          <w:rFonts w:eastAsia="Times New Roman"/>
                                                          <w:sz w:val="30"/>
                                                          <w:szCs w:val="30"/>
                                                        </w:rPr>
                                                        <w:t xml:space="preserve">  </w:t>
                                                      </w: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r w:rsidR="001B3C41">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956"/>
                          <w:gridCol w:w="150"/>
                        </w:tblGrid>
                        <w:tr w:rsidR="001B3C41">
                          <w:tc>
                            <w:tcPr>
                              <w:tcW w:w="150" w:type="dxa"/>
                              <w:shd w:val="clear" w:color="auto" w:fill="FFFFFF"/>
                              <w:vAlign w:val="center"/>
                              <w:hideMark/>
                            </w:tcPr>
                            <w:p w:rsidR="001B3C41" w:rsidRDefault="001B3C41" w:rsidP="00C62C19">
                              <w:pPr>
                                <w:spacing w:line="276" w:lineRule="auto"/>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956"/>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56"/>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956"/>
                                          </w:tblGrid>
                                          <w:tr w:rsidR="001B3C41">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1B3C41" w:rsidTr="00C62C19">
                                                  <w:tc>
                                                    <w:tcPr>
                                                      <w:tcW w:w="5000" w:type="pct"/>
                                                      <w:vAlign w:val="center"/>
                                                      <w:hideMark/>
                                                    </w:tcPr>
                                                    <w:p w:rsidR="001B3C41" w:rsidRDefault="001B3C41" w:rsidP="00C62C19">
                                                      <w:pPr>
                                                        <w:spacing w:line="276" w:lineRule="auto"/>
                                                        <w:jc w:val="both"/>
                                                        <w:rPr>
                                                          <w:rFonts w:ascii="Arial" w:hAnsi="Arial" w:cs="Arial"/>
                                                          <w:b/>
                                                          <w:bCs/>
                                                          <w:sz w:val="21"/>
                                                          <w:szCs w:val="21"/>
                                                          <w:lang w:eastAsia="en-US"/>
                                                        </w:rPr>
                                                      </w:pPr>
                                                      <w:r w:rsidRPr="00740E05">
                                                        <w:rPr>
                                                          <w:rFonts w:ascii="Arial" w:hAnsi="Arial" w:cs="Arial"/>
                                                          <w:b/>
                                                          <w:bCs/>
                                                          <w:sz w:val="21"/>
                                                          <w:szCs w:val="21"/>
                                                          <w:lang w:eastAsia="en-US"/>
                                                        </w:rPr>
                                                        <w:t>Conformément aux annonces du Conseil national des professions du spectacle (CNPS) du 11 mai dernier, l’ordonnance publiée le 1er août 2021 permet de prolonger de quatre mois l’année blanche, et donc l’indemnisation des intermittents au titre de l’assurance chômage jusqu’au 31 décembre 2021. Un décret publié ce jour complète ce dispositif pour aménager la sortie de l’année blanche et accompagner les jeunes intermittents.</w:t>
                                                      </w:r>
                                                    </w:p>
                                                    <w:p w:rsidR="001B3C41" w:rsidRDefault="001B3C41" w:rsidP="00C62C19">
                                                      <w:pPr>
                                                        <w:pStyle w:val="NormalWeb"/>
                                                        <w:spacing w:before="0" w:beforeAutospacing="0" w:after="0" w:afterAutospacing="0" w:line="276" w:lineRule="auto"/>
                                                        <w:rPr>
                                                          <w:rFonts w:ascii="Arial" w:hAnsi="Arial" w:cs="Arial"/>
                                                          <w:color w:val="393939"/>
                                                          <w:sz w:val="26"/>
                                                          <w:szCs w:val="26"/>
                                                        </w:rPr>
                                                      </w:pPr>
                                                    </w:p>
                                                    <w:p w:rsidR="001B3C41" w:rsidRPr="00740E05" w:rsidRDefault="001B3C41" w:rsidP="00C62C19">
                                                      <w:pPr>
                                                        <w:spacing w:line="276" w:lineRule="auto"/>
                                                        <w:jc w:val="both"/>
                                                        <w:rPr>
                                                          <w:rFonts w:ascii="Arial" w:hAnsi="Arial" w:cs="Arial"/>
                                                          <w:sz w:val="21"/>
                                                          <w:szCs w:val="21"/>
                                                          <w:lang w:eastAsia="en-US"/>
                                                        </w:rPr>
                                                      </w:pPr>
                                                      <w:r w:rsidRPr="00740E05">
                                                        <w:rPr>
                                                          <w:rFonts w:ascii="Arial" w:hAnsi="Arial" w:cs="Arial"/>
                                                          <w:sz w:val="21"/>
                                                          <w:szCs w:val="21"/>
                                                          <w:lang w:eastAsia="en-US"/>
                                                        </w:rPr>
                                                        <w:t xml:space="preserve">Les intermittents du spectacle bénéficient d’un régime spécifique d’assurance chômage dans le cadre duquel ils doivent déclarer au moins 507 heures d’activité sur une période de douze mois. De la même façon que les autres demandeurs d’emploi, leur durée d’indemnisation a été prolongée dès mars 2020 jusqu’au 31 mai 2020. </w:t>
                                                      </w:r>
                                                    </w:p>
                                                    <w:p w:rsidR="001B3C41" w:rsidRPr="00740E05" w:rsidRDefault="001B3C41" w:rsidP="00C62C19">
                                                      <w:pPr>
                                                        <w:spacing w:line="276" w:lineRule="auto"/>
                                                        <w:jc w:val="both"/>
                                                        <w:rPr>
                                                          <w:rFonts w:ascii="Arial" w:hAnsi="Arial" w:cs="Arial"/>
                                                          <w:sz w:val="21"/>
                                                          <w:szCs w:val="21"/>
                                                          <w:lang w:eastAsia="en-US"/>
                                                        </w:rPr>
                                                      </w:pPr>
                                                    </w:p>
                                                    <w:p w:rsidR="001B3C41" w:rsidRPr="00740E05" w:rsidRDefault="001B3C41" w:rsidP="00C62C19">
                                                      <w:pPr>
                                                        <w:spacing w:line="276" w:lineRule="auto"/>
                                                        <w:jc w:val="both"/>
                                                        <w:rPr>
                                                          <w:rFonts w:ascii="Arial" w:hAnsi="Arial" w:cs="Arial"/>
                                                          <w:sz w:val="21"/>
                                                          <w:szCs w:val="21"/>
                                                          <w:lang w:eastAsia="en-US"/>
                                                        </w:rPr>
                                                      </w:pPr>
                                                      <w:r w:rsidRPr="00740E05">
                                                        <w:rPr>
                                                          <w:rFonts w:ascii="Arial" w:hAnsi="Arial" w:cs="Arial"/>
                                                          <w:sz w:val="21"/>
                                                          <w:szCs w:val="21"/>
                                                          <w:lang w:eastAsia="en-US"/>
                                                        </w:rPr>
                                                        <w:t>Compte tenu des conséquences de la crise sanitaire sur l’activité des intermittents du spectacle, le Président de la République avait annoncé dès le 6 mai 2020 la prolongation de leur durée d’indemnisation jusqu’à la fin du mois d’août 2021.</w:t>
                                                      </w:r>
                                                    </w:p>
                                                    <w:p w:rsidR="001B3C41" w:rsidRPr="00740E05" w:rsidRDefault="001B3C41" w:rsidP="00C62C19">
                                                      <w:pPr>
                                                        <w:spacing w:line="276" w:lineRule="auto"/>
                                                        <w:jc w:val="both"/>
                                                        <w:rPr>
                                                          <w:rFonts w:ascii="Arial" w:hAnsi="Arial" w:cs="Arial"/>
                                                          <w:sz w:val="21"/>
                                                          <w:szCs w:val="21"/>
                                                          <w:lang w:eastAsia="en-US"/>
                                                        </w:rPr>
                                                      </w:pPr>
                                                    </w:p>
                                                    <w:p w:rsidR="001B3C41" w:rsidRPr="00740E05" w:rsidRDefault="001B3C41" w:rsidP="00C62C19">
                                                      <w:pPr>
                                                        <w:spacing w:line="276" w:lineRule="auto"/>
                                                        <w:jc w:val="both"/>
                                                        <w:rPr>
                                                          <w:rFonts w:ascii="Arial" w:hAnsi="Arial" w:cs="Arial"/>
                                                          <w:sz w:val="21"/>
                                                          <w:szCs w:val="21"/>
                                                          <w:lang w:eastAsia="en-US"/>
                                                        </w:rPr>
                                                      </w:pPr>
                                                      <w:r w:rsidRPr="00740E05">
                                                        <w:rPr>
                                                          <w:rFonts w:ascii="Arial" w:hAnsi="Arial" w:cs="Arial"/>
                                                          <w:sz w:val="21"/>
                                                          <w:szCs w:val="21"/>
                                                          <w:lang w:eastAsia="en-US"/>
                                                        </w:rPr>
                                                        <w:t xml:space="preserve">Afin de donner davantage de temps aux intermittents pour reconstituer leurs droits, et sur la base des recommandations du rapport d’André </w:t>
                                                      </w:r>
                                                      <w:proofErr w:type="spellStart"/>
                                                      <w:r w:rsidRPr="00740E05">
                                                        <w:rPr>
                                                          <w:rFonts w:ascii="Arial" w:hAnsi="Arial" w:cs="Arial"/>
                                                          <w:sz w:val="21"/>
                                                          <w:szCs w:val="21"/>
                                                          <w:lang w:eastAsia="en-US"/>
                                                        </w:rPr>
                                                        <w:t>Gauron</w:t>
                                                      </w:r>
                                                      <w:proofErr w:type="spellEnd"/>
                                                      <w:r w:rsidRPr="00740E05">
                                                        <w:rPr>
                                                          <w:rFonts w:ascii="Arial" w:hAnsi="Arial" w:cs="Arial"/>
                                                          <w:sz w:val="21"/>
                                                          <w:szCs w:val="21"/>
                                                          <w:lang w:eastAsia="en-US"/>
                                                        </w:rPr>
                                                        <w:t>, cette mesure est prolongée jusqu’au 31 décembre 2021.</w:t>
                                                      </w:r>
                                                    </w:p>
                                                    <w:p w:rsidR="001B3C41" w:rsidRPr="00740E05" w:rsidRDefault="001B3C41" w:rsidP="00C62C19">
                                                      <w:pPr>
                                                        <w:spacing w:line="276" w:lineRule="auto"/>
                                                        <w:jc w:val="both"/>
                                                        <w:rPr>
                                                          <w:rFonts w:ascii="Arial" w:hAnsi="Arial" w:cs="Arial"/>
                                                          <w:sz w:val="21"/>
                                                          <w:szCs w:val="21"/>
                                                          <w:lang w:eastAsia="en-US"/>
                                                        </w:rPr>
                                                      </w:pPr>
                                                    </w:p>
                                                    <w:p w:rsidR="001B3C41" w:rsidRDefault="001B3C41" w:rsidP="00C62C19">
                                                      <w:pPr>
                                                        <w:spacing w:line="276" w:lineRule="auto"/>
                                                        <w:jc w:val="both"/>
                                                        <w:rPr>
                                                          <w:rFonts w:ascii="Arial" w:hAnsi="Arial" w:cs="Arial"/>
                                                          <w:sz w:val="21"/>
                                                          <w:szCs w:val="21"/>
                                                          <w:lang w:eastAsia="en-US"/>
                                                        </w:rPr>
                                                      </w:pPr>
                                                      <w:r w:rsidRPr="00740E05">
                                                        <w:rPr>
                                                          <w:rFonts w:ascii="Arial" w:hAnsi="Arial" w:cs="Arial"/>
                                                          <w:sz w:val="21"/>
                                                          <w:szCs w:val="21"/>
                                                          <w:lang w:eastAsia="en-US"/>
                                                        </w:rPr>
                                                        <w:t xml:space="preserve">Par ailleurs, </w:t>
                                                      </w:r>
                                                      <w:r w:rsidRPr="00740E05">
                                                        <w:rPr>
                                                          <w:rFonts w:ascii="Arial" w:hAnsi="Arial" w:cs="Arial"/>
                                                          <w:b/>
                                                          <w:sz w:val="21"/>
                                                          <w:szCs w:val="21"/>
                                                          <w:lang w:eastAsia="en-US"/>
                                                        </w:rPr>
                                                        <w:t>le décret n°2021-1034 du 4 août 2021</w:t>
                                                      </w:r>
                                                      <w:r w:rsidRPr="00740E05">
                                                        <w:rPr>
                                                          <w:rFonts w:ascii="Arial" w:hAnsi="Arial" w:cs="Arial"/>
                                                          <w:sz w:val="21"/>
                                                          <w:szCs w:val="21"/>
                                                          <w:lang w:eastAsia="en-US"/>
                                                        </w:rPr>
                                                        <w:t xml:space="preserve"> prévoit différentes </w:t>
                                                      </w:r>
                                                      <w:r w:rsidRPr="00740E05">
                                                        <w:rPr>
                                                          <w:rFonts w:ascii="Arial" w:hAnsi="Arial" w:cs="Arial"/>
                                                          <w:b/>
                                                          <w:sz w:val="21"/>
                                                          <w:szCs w:val="21"/>
                                                          <w:lang w:eastAsia="en-US"/>
                                                        </w:rPr>
                                                        <w:t>mesures d’aménagement de la sortie de l’année blanche</w:t>
                                                      </w:r>
                                                      <w:r w:rsidRPr="00740E05">
                                                        <w:rPr>
                                                          <w:rFonts w:ascii="Arial" w:hAnsi="Arial" w:cs="Arial"/>
                                                          <w:sz w:val="21"/>
                                                          <w:szCs w:val="21"/>
                                                          <w:lang w:eastAsia="en-US"/>
                                                        </w:rPr>
                                                        <w:t xml:space="preserve"> ainsi qu’un </w:t>
                                                      </w:r>
                                                      <w:r w:rsidRPr="00740E05">
                                                        <w:rPr>
                                                          <w:rFonts w:ascii="Arial" w:hAnsi="Arial" w:cs="Arial"/>
                                                          <w:b/>
                                                          <w:sz w:val="21"/>
                                                          <w:szCs w:val="21"/>
                                                          <w:lang w:eastAsia="en-US"/>
                                                        </w:rPr>
                                                        <w:t xml:space="preserve">dispositif spécifique pour les intermittents de moins de 30 ans </w:t>
                                                      </w:r>
                                                      <w:r w:rsidRPr="00740E05">
                                                        <w:rPr>
                                                          <w:rFonts w:ascii="Arial" w:hAnsi="Arial" w:cs="Arial"/>
                                                          <w:sz w:val="21"/>
                                                          <w:szCs w:val="21"/>
                                                          <w:lang w:eastAsia="en-US"/>
                                                        </w:rPr>
                                                        <w:t xml:space="preserve">entrant dans le régime. </w:t>
                                                      </w:r>
                                                    </w:p>
                                                    <w:p w:rsidR="001B3C41" w:rsidRDefault="001B3C41" w:rsidP="00C62C19">
                                                      <w:pPr>
                                                        <w:pStyle w:val="NormalWeb"/>
                                                        <w:spacing w:before="0" w:beforeAutospacing="0" w:after="0" w:afterAutospacing="0" w:line="276" w:lineRule="auto"/>
                                                        <w:rPr>
                                                          <w:rFonts w:ascii="Arial" w:hAnsi="Arial" w:cs="Arial"/>
                                                          <w:color w:val="393939"/>
                                                          <w:sz w:val="26"/>
                                                          <w:szCs w:val="26"/>
                                                        </w:rPr>
                                                      </w:pPr>
                                                    </w:p>
                                                    <w:p w:rsidR="001B3C41" w:rsidRDefault="001B3C41" w:rsidP="00C62C19">
                                                      <w:pPr>
                                                        <w:pStyle w:val="Paragraphedeliste"/>
                                                        <w:numPr>
                                                          <w:ilvl w:val="0"/>
                                                          <w:numId w:val="1"/>
                                                        </w:numPr>
                                                        <w:spacing w:after="0"/>
                                                        <w:jc w:val="both"/>
                                                        <w:rPr>
                                                          <w:rFonts w:ascii="Arial" w:hAnsi="Arial" w:cs="Arial"/>
                                                          <w:sz w:val="21"/>
                                                          <w:szCs w:val="21"/>
                                                        </w:rPr>
                                                      </w:pPr>
                                                      <w:r w:rsidRPr="00740E05">
                                                        <w:rPr>
                                                          <w:rFonts w:ascii="Arial" w:hAnsi="Arial" w:cs="Arial"/>
                                                          <w:b/>
                                                          <w:bCs/>
                                                          <w:sz w:val="21"/>
                                                          <w:szCs w:val="21"/>
                                                        </w:rPr>
                                                        <w:t>Une date anniversaire « plancher »,</w:t>
                                                      </w:r>
                                                      <w:r w:rsidRPr="00740E05">
                                                        <w:rPr>
                                                          <w:rFonts w:ascii="Arial" w:hAnsi="Arial" w:cs="Arial"/>
                                                          <w:bCs/>
                                                          <w:sz w:val="21"/>
                                                          <w:szCs w:val="21"/>
                                                        </w:rPr>
                                                        <w:t xml:space="preserve"> fixée au 30 avril 2022, est prévue pour permettre aux intermittents du spectacle dont la dernière date de fin de contrat serait très éloignée de la date du 31 décembre 2021 de disposer de davantage de temps pour reconstituer des droits</w:t>
                                                      </w:r>
                                                      <w:r>
                                                        <w:rPr>
                                                          <w:rFonts w:ascii="Arial" w:hAnsi="Arial" w:cs="Arial"/>
                                                          <w:sz w:val="21"/>
                                                          <w:szCs w:val="21"/>
                                                        </w:rPr>
                                                        <w:t>;</w:t>
                                                      </w:r>
                                                    </w:p>
                                                    <w:p w:rsidR="001B3C41" w:rsidRDefault="001B3C41" w:rsidP="00C62C19">
                                                      <w:pPr>
                                                        <w:pStyle w:val="Paragraphedeliste"/>
                                                        <w:spacing w:after="0"/>
                                                        <w:jc w:val="both"/>
                                                        <w:rPr>
                                                          <w:rFonts w:ascii="Arial" w:hAnsi="Arial" w:cs="Arial"/>
                                                          <w:sz w:val="21"/>
                                                          <w:szCs w:val="21"/>
                                                        </w:rPr>
                                                      </w:pPr>
                                                      <w:r>
                                                        <w:rPr>
                                                          <w:rFonts w:ascii="Arial" w:hAnsi="Arial" w:cs="Arial"/>
                                                          <w:sz w:val="21"/>
                                                          <w:szCs w:val="21"/>
                                                        </w:rPr>
                                                        <w:t xml:space="preserve"> </w:t>
                                                      </w:r>
                                                    </w:p>
                                                    <w:p w:rsidR="001B3C41" w:rsidRDefault="001B3C41" w:rsidP="00C62C19">
                                                      <w:pPr>
                                                        <w:pStyle w:val="Paragraphedeliste"/>
                                                        <w:numPr>
                                                          <w:ilvl w:val="0"/>
                                                          <w:numId w:val="1"/>
                                                        </w:numPr>
                                                        <w:spacing w:after="0"/>
                                                        <w:jc w:val="both"/>
                                                        <w:rPr>
                                                          <w:rFonts w:ascii="Arial" w:hAnsi="Arial" w:cs="Arial"/>
                                                          <w:sz w:val="21"/>
                                                          <w:szCs w:val="21"/>
                                                          <w:lang w:eastAsia="fr-FR"/>
                                                        </w:rPr>
                                                      </w:pPr>
                                                      <w:r w:rsidRPr="00740E05">
                                                        <w:rPr>
                                                          <w:rFonts w:ascii="Arial" w:hAnsi="Arial" w:cs="Arial"/>
                                                          <w:sz w:val="21"/>
                                                          <w:szCs w:val="21"/>
                                                        </w:rPr>
                                                        <w:lastRenderedPageBreak/>
                                                        <w:t xml:space="preserve">Une date spécifique, également fixée au 30 avril 2022, est prévue </w:t>
                                                      </w:r>
                                                      <w:r w:rsidRPr="00740E05">
                                                        <w:rPr>
                                                          <w:rFonts w:ascii="Arial" w:hAnsi="Arial" w:cs="Arial"/>
                                                          <w:b/>
                                                          <w:sz w:val="21"/>
                                                          <w:szCs w:val="21"/>
                                                        </w:rPr>
                                                        <w:t>pour les intermittents du spectacle qui seraient en congé maladie, maternité, paternité ou adoption au 31 décembre 2021</w:t>
                                                      </w:r>
                                                      <w:r w:rsidRPr="00740E05">
                                                        <w:rPr>
                                                          <w:rFonts w:ascii="Arial" w:hAnsi="Arial" w:cs="Arial"/>
                                                          <w:sz w:val="21"/>
                                                          <w:szCs w:val="21"/>
                                                        </w:rPr>
                                                        <w:t xml:space="preserve"> afin qu’ils puissent bénéficier des mêmes dispositions de sortie d’année blanche que les autres intermittents</w:t>
                                                      </w:r>
                                                      <w:r>
                                                        <w:rPr>
                                                          <w:rFonts w:ascii="Arial" w:hAnsi="Arial" w:cs="Arial"/>
                                                          <w:sz w:val="21"/>
                                                          <w:szCs w:val="21"/>
                                                        </w:rPr>
                                                        <w:t xml:space="preserve"> ;</w:t>
                                                      </w:r>
                                                    </w:p>
                                                    <w:p w:rsidR="001B3C41" w:rsidRPr="00740E05" w:rsidRDefault="001B3C41" w:rsidP="00C62C19">
                                                      <w:pPr>
                                                        <w:pStyle w:val="Paragraphedeliste"/>
                                                        <w:rPr>
                                                          <w:rFonts w:ascii="Arial" w:hAnsi="Arial" w:cs="Arial"/>
                                                          <w:sz w:val="21"/>
                                                          <w:szCs w:val="21"/>
                                                          <w:lang w:eastAsia="fr-FR"/>
                                                        </w:rPr>
                                                      </w:pPr>
                                                    </w:p>
                                                    <w:p w:rsidR="001B3C41" w:rsidRPr="00740E05" w:rsidRDefault="001B3C41" w:rsidP="00C62C19">
                                                      <w:pPr>
                                                        <w:pStyle w:val="Paragraphedeliste"/>
                                                        <w:spacing w:after="0"/>
                                                        <w:jc w:val="both"/>
                                                        <w:rPr>
                                                          <w:rFonts w:ascii="Arial" w:hAnsi="Arial" w:cs="Arial"/>
                                                          <w:b/>
                                                          <w:sz w:val="21"/>
                                                          <w:szCs w:val="21"/>
                                                          <w:lang w:eastAsia="fr-FR"/>
                                                        </w:rPr>
                                                      </w:pPr>
                                                    </w:p>
                                                    <w:p w:rsidR="001B3C41" w:rsidRPr="00740E05" w:rsidRDefault="001B3C41" w:rsidP="00C62C19">
                                                      <w:pPr>
                                                        <w:pStyle w:val="Paragraphedeliste"/>
                                                        <w:numPr>
                                                          <w:ilvl w:val="0"/>
                                                          <w:numId w:val="1"/>
                                                        </w:numPr>
                                                        <w:jc w:val="both"/>
                                                        <w:rPr>
                                                          <w:rFonts w:ascii="Arial" w:hAnsi="Arial" w:cs="Arial"/>
                                                          <w:bCs/>
                                                          <w:sz w:val="21"/>
                                                          <w:szCs w:val="21"/>
                                                        </w:rPr>
                                                      </w:pPr>
                                                      <w:r w:rsidRPr="001B3C41">
                                                        <w:rPr>
                                                          <w:rFonts w:ascii="Arial" w:hAnsi="Arial" w:cs="Arial"/>
                                                          <w:b/>
                                                          <w:sz w:val="21"/>
                                                          <w:szCs w:val="21"/>
                                                        </w:rPr>
                                                        <w:t>Une clause de rattrapage</w:t>
                                                      </w:r>
                                                      <w:r w:rsidRPr="001B3C41">
                                                        <w:rPr>
                                                          <w:rFonts w:ascii="Arial" w:hAnsi="Arial" w:cs="Arial"/>
                                                          <w:sz w:val="21"/>
                                                          <w:szCs w:val="21"/>
                                                        </w:rPr>
                                                        <w:t>, dont les conditions d’éligibilité seront temporairement assouplies, permettra aux intermittents ayant totalisé entre 338 et 506 heures de bénéficier d’une</w:t>
                                                      </w:r>
                                                      <w:r>
                                                        <w:rPr>
                                                          <w:rFonts w:ascii="Arial" w:hAnsi="Arial" w:cs="Arial"/>
                                                          <w:sz w:val="21"/>
                                                          <w:szCs w:val="21"/>
                                                        </w:rPr>
                                                        <w:t xml:space="preserve"> </w:t>
                                                      </w:r>
                                                      <w:r w:rsidRPr="00740E05">
                                                        <w:rPr>
                                                          <w:rFonts w:ascii="Arial" w:hAnsi="Arial" w:cs="Arial"/>
                                                          <w:bCs/>
                                                          <w:sz w:val="21"/>
                                                          <w:szCs w:val="21"/>
                                                        </w:rPr>
                                                        <w:t xml:space="preserve">indemnisation pendant une durée de six mois maximum après l’épuisement de leurs droits à l’allocation d'aide au retour à l’emploi (ARE). Le montant de la dernière allocation journalière sera versé pendant cette période sans condition d’ancienneté au sein du régime ; </w:t>
                                                      </w:r>
                                                    </w:p>
                                                    <w:p w:rsidR="001B3C41" w:rsidRPr="00740E05" w:rsidRDefault="001B3C41" w:rsidP="00C62C19">
                                                      <w:pPr>
                                                        <w:pStyle w:val="Paragraphedeliste"/>
                                                        <w:jc w:val="both"/>
                                                        <w:rPr>
                                                          <w:rFonts w:ascii="Arial" w:hAnsi="Arial" w:cs="Arial"/>
                                                          <w:bCs/>
                                                          <w:sz w:val="21"/>
                                                          <w:szCs w:val="21"/>
                                                        </w:rPr>
                                                      </w:pPr>
                                                    </w:p>
                                                    <w:p w:rsidR="001B3C41" w:rsidRPr="00740E05" w:rsidRDefault="001B3C41" w:rsidP="00C62C19">
                                                      <w:pPr>
                                                        <w:pStyle w:val="Paragraphedeliste"/>
                                                        <w:spacing w:after="0"/>
                                                        <w:jc w:val="both"/>
                                                        <w:rPr>
                                                          <w:rFonts w:ascii="Arial" w:hAnsi="Arial" w:cs="Arial"/>
                                                          <w:sz w:val="21"/>
                                                          <w:szCs w:val="21"/>
                                                        </w:rPr>
                                                      </w:pPr>
                                                    </w:p>
                                                    <w:p w:rsidR="001B3C41" w:rsidRPr="00740E05" w:rsidRDefault="001B3C41" w:rsidP="00C62C19">
                                                      <w:pPr>
                                                        <w:pStyle w:val="Paragraphedeliste"/>
                                                        <w:numPr>
                                                          <w:ilvl w:val="0"/>
                                                          <w:numId w:val="1"/>
                                                        </w:numPr>
                                                        <w:spacing w:after="0"/>
                                                        <w:jc w:val="both"/>
                                                        <w:rPr>
                                                          <w:rFonts w:ascii="Arial" w:hAnsi="Arial" w:cs="Arial"/>
                                                          <w:sz w:val="21"/>
                                                          <w:szCs w:val="21"/>
                                                        </w:rPr>
                                                      </w:pPr>
                                                      <w:r w:rsidRPr="00740E05">
                                                        <w:rPr>
                                                          <w:rFonts w:ascii="Arial" w:hAnsi="Arial" w:cs="Arial"/>
                                                          <w:b/>
                                                          <w:bCs/>
                                                          <w:sz w:val="21"/>
                                                          <w:szCs w:val="21"/>
                                                        </w:rPr>
                                                        <w:t>L’allocation de professionnalisation et de solidarité (APS),</w:t>
                                                      </w:r>
                                                      <w:r w:rsidRPr="00740E05">
                                                        <w:rPr>
                                                          <w:rFonts w:ascii="Arial" w:hAnsi="Arial" w:cs="Arial"/>
                                                          <w:bCs/>
                                                          <w:sz w:val="21"/>
                                                          <w:szCs w:val="21"/>
                                                        </w:rPr>
                                                        <w:t xml:space="preserve"> dispositif financé par l’État, pourra être versée pendant une durée de douze mois à tous les intermittents admis au bénéfice de cette allocation, et ceci même à l’issue des six mois de la clause de rattrapage, qui déclenchent habituellement une durée de versement de l’APS de six mois seulement</w:t>
                                                      </w:r>
                                                    </w:p>
                                                    <w:p w:rsidR="001B3C41" w:rsidRDefault="001B3C41" w:rsidP="00C62C19">
                                                      <w:pPr>
                                                        <w:pStyle w:val="NormalWeb"/>
                                                        <w:spacing w:before="0" w:beforeAutospacing="0" w:after="0" w:afterAutospacing="0" w:line="276" w:lineRule="auto"/>
                                                        <w:jc w:val="both"/>
                                                        <w:rPr>
                                                          <w:rFonts w:ascii="Arial" w:hAnsi="Arial" w:cs="Arial"/>
                                                          <w:sz w:val="21"/>
                                                          <w:szCs w:val="21"/>
                                                          <w:lang w:eastAsia="en-US"/>
                                                        </w:rPr>
                                                      </w:pPr>
                                                    </w:p>
                                                    <w:p w:rsidR="001B3C41" w:rsidRPr="00740E05" w:rsidRDefault="001B3C41" w:rsidP="00C62C19">
                                                      <w:pPr>
                                                        <w:spacing w:line="276" w:lineRule="auto"/>
                                                        <w:jc w:val="both"/>
                                                        <w:rPr>
                                                          <w:rFonts w:ascii="Arial" w:hAnsi="Arial" w:cs="Arial"/>
                                                          <w:bCs/>
                                                          <w:sz w:val="21"/>
                                                          <w:szCs w:val="21"/>
                                                          <w:lang w:eastAsia="en-US"/>
                                                        </w:rPr>
                                                      </w:pPr>
                                                      <w:r w:rsidRPr="00740E05">
                                                        <w:rPr>
                                                          <w:rFonts w:ascii="Arial" w:hAnsi="Arial" w:cs="Arial"/>
                                                          <w:b/>
                                                          <w:bCs/>
                                                          <w:sz w:val="21"/>
                                                          <w:szCs w:val="21"/>
                                                          <w:lang w:eastAsia="en-US"/>
                                                        </w:rPr>
                                                        <w:t>Par ailleurs, les intermittents âgés de moins de 30 ans ouvrant pour la première fois des droits au titre de ce régime devront cumuler 338 heures contre 507 heures sur la période de référence pour se voir ouvrir des droits</w:t>
                                                      </w:r>
                                                      <w:r w:rsidRPr="00740E05">
                                                        <w:rPr>
                                                          <w:rFonts w:ascii="Arial" w:hAnsi="Arial" w:cs="Arial"/>
                                                          <w:bCs/>
                                                          <w:sz w:val="21"/>
                                                          <w:szCs w:val="21"/>
                                                          <w:lang w:eastAsia="en-US"/>
                                                        </w:rPr>
                                                        <w:t>. Pourront en bénéficier les intermittents âgés de moins de 30 ans, dont la dernière fin de contrat de travail se situe entre le 1er septembre 2021 et le 28 février 2022, dès lors qu’ils auront travaillé au moins 338 heures auprès d’employeurs relevant du régime des intermittents. Ces heures pourront être recherchées sur une période de référence allongée afin de tenir compte des périodes de confinement. L’allocation pourra leur être versée pendant six mois maximum, le temps qu’ils atteignent les 507 heures, ce qui permettra ensuite de leur ouvrir des droits dans les conditions de droit commun.</w:t>
                                                      </w:r>
                                                    </w:p>
                                                    <w:p w:rsidR="001B3C41" w:rsidRPr="00740E05" w:rsidRDefault="001B3C41" w:rsidP="00C62C19">
                                                      <w:pPr>
                                                        <w:spacing w:line="276" w:lineRule="auto"/>
                                                        <w:jc w:val="both"/>
                                                        <w:rPr>
                                                          <w:rFonts w:ascii="Arial" w:hAnsi="Arial" w:cs="Arial"/>
                                                          <w:bCs/>
                                                          <w:sz w:val="21"/>
                                                          <w:szCs w:val="21"/>
                                                          <w:lang w:eastAsia="en-US"/>
                                                        </w:rPr>
                                                      </w:pPr>
                                                    </w:p>
                                                    <w:p w:rsidR="001B3C41" w:rsidRPr="00740E05" w:rsidRDefault="001B3C41" w:rsidP="00C62C19">
                                                      <w:pPr>
                                                        <w:spacing w:line="276" w:lineRule="auto"/>
                                                        <w:jc w:val="both"/>
                                                        <w:rPr>
                                                          <w:rFonts w:ascii="Arial" w:hAnsi="Arial" w:cs="Arial"/>
                                                          <w:b/>
                                                          <w:bCs/>
                                                          <w:sz w:val="21"/>
                                                          <w:szCs w:val="21"/>
                                                          <w:lang w:eastAsia="en-US"/>
                                                        </w:rPr>
                                                      </w:pPr>
                                                      <w:r w:rsidRPr="00740E05">
                                                        <w:rPr>
                                                          <w:rFonts w:ascii="Arial" w:hAnsi="Arial" w:cs="Arial"/>
                                                          <w:b/>
                                                          <w:bCs/>
                                                          <w:sz w:val="21"/>
                                                          <w:szCs w:val="21"/>
                                                          <w:lang w:eastAsia="en-US"/>
                                                        </w:rPr>
                                                        <w:t xml:space="preserve">Prises dans leur ensemble, ces mesures permettent un accompagnement solide des intermittents du spectacle et de l’audiovisuel durant 16 mois à compter du 31 août 2021. </w:t>
                                                      </w:r>
                                                    </w:p>
                                                    <w:p w:rsidR="001B3C41" w:rsidRPr="00740E05" w:rsidRDefault="001B3C41" w:rsidP="00C62C19">
                                                      <w:pPr>
                                                        <w:spacing w:line="276" w:lineRule="auto"/>
                                                        <w:jc w:val="both"/>
                                                        <w:rPr>
                                                          <w:rFonts w:ascii="Arial" w:hAnsi="Arial" w:cs="Arial"/>
                                                          <w:bCs/>
                                                          <w:sz w:val="21"/>
                                                          <w:szCs w:val="21"/>
                                                          <w:lang w:eastAsia="en-US"/>
                                                        </w:rPr>
                                                      </w:pPr>
                                                    </w:p>
                                                    <w:p w:rsidR="001B3C41" w:rsidRPr="00740E05" w:rsidRDefault="001B3C41" w:rsidP="00C62C19">
                                                      <w:pPr>
                                                        <w:spacing w:line="276" w:lineRule="auto"/>
                                                        <w:jc w:val="both"/>
                                                        <w:rPr>
                                                          <w:rFonts w:ascii="Arial" w:hAnsi="Arial" w:cs="Arial"/>
                                                          <w:bCs/>
                                                          <w:sz w:val="21"/>
                                                          <w:szCs w:val="21"/>
                                                          <w:lang w:eastAsia="en-US"/>
                                                        </w:rPr>
                                                      </w:pPr>
                                                      <w:r w:rsidRPr="00740E05">
                                                        <w:rPr>
                                                          <w:rFonts w:ascii="Arial" w:hAnsi="Arial" w:cs="Arial"/>
                                                          <w:bCs/>
                                                          <w:sz w:val="21"/>
                                                          <w:szCs w:val="21"/>
                                                          <w:lang w:eastAsia="en-US"/>
                                                        </w:rPr>
                                                        <w:t>Le ministère du Travail, de l’Emploi et de l’Insertion et le ministère de la Culture suivent d’ores et déjà le niveau de reprise du travail des intermittents afin de s’assurer que ces mesures sont et resteront adéquates, dans les mois à venir, par rapport à l’activité</w:t>
                                                      </w:r>
                                                      <w:r>
                                                        <w:rPr>
                                                          <w:rFonts w:ascii="Arial" w:hAnsi="Arial" w:cs="Arial"/>
                                                          <w:bCs/>
                                                          <w:sz w:val="21"/>
                                                          <w:szCs w:val="21"/>
                                                          <w:lang w:eastAsia="en-US"/>
                                                        </w:rPr>
                                                        <w:t xml:space="preserve"> effective du secteur culturel.</w:t>
                                                      </w:r>
                                                    </w:p>
                                                    <w:p w:rsidR="001B3C41" w:rsidRPr="001B3C41" w:rsidRDefault="001B3C41" w:rsidP="00C62C19">
                                                      <w:pPr>
                                                        <w:pStyle w:val="NormalWeb"/>
                                                        <w:spacing w:before="0" w:beforeAutospacing="0" w:after="0" w:afterAutospacing="0" w:line="276" w:lineRule="auto"/>
                                                        <w:jc w:val="both"/>
                                                        <w:rPr>
                                                          <w:rFonts w:ascii="Arial" w:hAnsi="Arial" w:cs="Arial"/>
                                                          <w:sz w:val="21"/>
                                                          <w:szCs w:val="21"/>
                                                          <w:lang w:eastAsia="en-US"/>
                                                        </w:rPr>
                                                      </w:pPr>
                                                    </w:p>
                                                    <w:p w:rsidR="001B3C41" w:rsidRDefault="001B3C41" w:rsidP="00C62C19">
                                                      <w:pPr>
                                                        <w:spacing w:line="276" w:lineRule="auto"/>
                                                        <w:jc w:val="both"/>
                                                        <w:rPr>
                                                          <w:rFonts w:ascii="Arial" w:hAnsi="Arial" w:cs="Arial"/>
                                                          <w:sz w:val="21"/>
                                                          <w:szCs w:val="21"/>
                                                          <w:lang w:eastAsia="en-US"/>
                                                        </w:rPr>
                                                      </w:pPr>
                                                      <w:r>
                                                        <w:rPr>
                                                          <w:rFonts w:ascii="Arial" w:hAnsi="Arial" w:cs="Arial"/>
                                                          <w:b/>
                                                          <w:bCs/>
                                                          <w:sz w:val="21"/>
                                                          <w:szCs w:val="21"/>
                                                          <w:lang w:eastAsia="en-US"/>
                                                        </w:rPr>
                                                        <w:t>Pour consulter l’ordonnance n° 2021-1013 du 31 juillet 2021</w:t>
                                                      </w:r>
                                                      <w:r>
                                                        <w:rPr>
                                                          <w:rFonts w:ascii="Arial" w:hAnsi="Arial" w:cs="Arial"/>
                                                          <w:sz w:val="21"/>
                                                          <w:szCs w:val="21"/>
                                                          <w:lang w:eastAsia="en-US"/>
                                                        </w:rPr>
                                                        <w:t xml:space="preserve"> modifiant l'ordonnance n° 2020-324 du 25 mars 2020 portant mesures d'urgence en matière de revenus de remplacement mentionnés à l'article L. 5421-2 du code du travail : </w:t>
                                                      </w:r>
                                                      <w:hyperlink r:id="rId7" w:history="1">
                                                        <w:r>
                                                          <w:rPr>
                                                            <w:rStyle w:val="Lienhypertexte"/>
                                                            <w:rFonts w:ascii="Arial" w:hAnsi="Arial" w:cs="Arial"/>
                                                            <w:sz w:val="21"/>
                                                            <w:szCs w:val="21"/>
                                                            <w:lang w:eastAsia="en-US"/>
                                                          </w:rPr>
                                                          <w:t>https://www.legifrance.gouv.fr/jorf/id/JORFTEXT000043879168</w:t>
                                                        </w:r>
                                                      </w:hyperlink>
                                                    </w:p>
                                                    <w:p w:rsidR="001B3C41" w:rsidRDefault="001B3C41" w:rsidP="00C62C19">
                                                      <w:pPr>
                                                        <w:spacing w:line="276" w:lineRule="auto"/>
                                                        <w:jc w:val="both"/>
                                                        <w:rPr>
                                                          <w:rFonts w:ascii="Arial" w:hAnsi="Arial" w:cs="Arial"/>
                                                          <w:sz w:val="21"/>
                                                          <w:szCs w:val="21"/>
                                                          <w:lang w:eastAsia="en-US"/>
                                                        </w:rPr>
                                                      </w:pPr>
                                                    </w:p>
                                                    <w:p w:rsidR="001B3C41" w:rsidRDefault="001B3C41" w:rsidP="00C62C19">
                                                      <w:pPr>
                                                        <w:spacing w:line="276" w:lineRule="auto"/>
                                                        <w:jc w:val="both"/>
                                                        <w:rPr>
                                                          <w:rFonts w:ascii="Arial" w:hAnsi="Arial" w:cs="Arial"/>
                                                          <w:sz w:val="21"/>
                                                          <w:szCs w:val="21"/>
                                                          <w:lang w:eastAsia="en-US"/>
                                                        </w:rPr>
                                                      </w:pPr>
                                                      <w:r>
                                                        <w:rPr>
                                                          <w:rFonts w:ascii="Arial" w:hAnsi="Arial" w:cs="Arial"/>
                                                          <w:b/>
                                                          <w:bCs/>
                                                          <w:sz w:val="21"/>
                                                          <w:szCs w:val="21"/>
                                                          <w:lang w:eastAsia="en-US"/>
                                                        </w:rPr>
                                                        <w:t>Pour consulter l’arrêté du 2 août 2021</w:t>
                                                      </w:r>
                                                      <w:r>
                                                        <w:rPr>
                                                          <w:rFonts w:ascii="Arial" w:hAnsi="Arial" w:cs="Arial"/>
                                                          <w:sz w:val="21"/>
                                                          <w:szCs w:val="21"/>
                                                          <w:lang w:eastAsia="en-US"/>
                                                        </w:rPr>
                                                        <w:t xml:space="preserve"> portant modification de l'arrêté du 22 juillet 2020 portant mesures d'urgence en matière de revenus de remplacement mentionnés à l'article L. 5421-2 du code du travail : </w:t>
                                                      </w:r>
                                                      <w:hyperlink r:id="rId8" w:history="1">
                                                        <w:r>
                                                          <w:rPr>
                                                            <w:rStyle w:val="Lienhypertexte"/>
                                                            <w:rFonts w:ascii="Arial" w:hAnsi="Arial" w:cs="Arial"/>
                                                            <w:sz w:val="21"/>
                                                            <w:szCs w:val="21"/>
                                                            <w:lang w:eastAsia="en-US"/>
                                                          </w:rPr>
                                                          <w:t>https://www.legifrance.gouv.fr/jorf/id/JORFTEXT000043884859</w:t>
                                                        </w:r>
                                                      </w:hyperlink>
                                                    </w:p>
                                                    <w:p w:rsidR="001B3C41" w:rsidRDefault="001B3C41" w:rsidP="00C62C19">
                                                      <w:pPr>
                                                        <w:spacing w:line="276" w:lineRule="auto"/>
                                                        <w:jc w:val="both"/>
                                                        <w:rPr>
                                                          <w:rFonts w:ascii="Arial" w:hAnsi="Arial" w:cs="Arial"/>
                                                          <w:sz w:val="21"/>
                                                          <w:szCs w:val="21"/>
                                                          <w:lang w:eastAsia="en-US"/>
                                                        </w:rPr>
                                                      </w:pPr>
                                                    </w:p>
                                                    <w:p w:rsidR="001B3C41" w:rsidRDefault="001B3C41" w:rsidP="00C62C19">
                                                      <w:pPr>
                                                        <w:pStyle w:val="NormalWeb"/>
                                                        <w:spacing w:before="0" w:beforeAutospacing="0" w:after="0" w:afterAutospacing="0" w:line="276" w:lineRule="auto"/>
                                                        <w:jc w:val="both"/>
                                                        <w:rPr>
                                                          <w:rFonts w:ascii="Arial" w:hAnsi="Arial" w:cs="Arial"/>
                                                          <w:color w:val="393939"/>
                                                          <w:sz w:val="26"/>
                                                          <w:szCs w:val="26"/>
                                                        </w:rPr>
                                                      </w:pPr>
                                                      <w:r>
                                                        <w:rPr>
                                                          <w:rFonts w:ascii="Arial" w:hAnsi="Arial" w:cs="Arial"/>
                                                          <w:b/>
                                                          <w:bCs/>
                                                          <w:sz w:val="21"/>
                                                          <w:szCs w:val="21"/>
                                                          <w:lang w:eastAsia="en-US"/>
                                                        </w:rPr>
                                                        <w:t xml:space="preserve">Pour consulter le décret </w:t>
                                                      </w:r>
                                                      <w:r>
                                                        <w:rPr>
                                                          <w:rFonts w:ascii="Arial" w:hAnsi="Arial" w:cs="Arial"/>
                                                          <w:b/>
                                                          <w:bCs/>
                                                          <w:color w:val="000000"/>
                                                          <w:sz w:val="21"/>
                                                          <w:szCs w:val="21"/>
                                                          <w:lang w:eastAsia="en-US"/>
                                                        </w:rPr>
                                                        <w:t>n° 2021-1034 du 4 août 2021</w:t>
                                                      </w:r>
                                                      <w:r>
                                                        <w:rPr>
                                                          <w:rFonts w:ascii="Arial" w:hAnsi="Arial" w:cs="Arial"/>
                                                          <w:color w:val="000000"/>
                                                          <w:sz w:val="21"/>
                                                          <w:szCs w:val="21"/>
                                                          <w:lang w:eastAsia="en-US"/>
                                                        </w:rPr>
                                                        <w:t xml:space="preserve"> modifiant le décret n° 2020-928 du 29 juillet 2020 portant mesures d'urgence en matière de revenus de remplacement des artistes et techniciens intermittents du spectacle </w:t>
                                                      </w:r>
                                                      <w:r>
                                                        <w:rPr>
                                                          <w:rFonts w:ascii="Arial" w:hAnsi="Arial" w:cs="Arial"/>
                                                          <w:sz w:val="21"/>
                                                          <w:szCs w:val="21"/>
                                                          <w:lang w:eastAsia="en-US"/>
                                                        </w:rPr>
                                                        <w:t xml:space="preserve">: </w:t>
                                                      </w:r>
                                                      <w:hyperlink r:id="rId9" w:history="1">
                                                        <w:r>
                                                          <w:rPr>
                                                            <w:rStyle w:val="Lienhypertexte"/>
                                                            <w:rFonts w:ascii="Arial" w:hAnsi="Arial" w:cs="Arial"/>
                                                            <w:sz w:val="21"/>
                                                            <w:szCs w:val="21"/>
                                                            <w:lang w:eastAsia="en-US"/>
                                                          </w:rPr>
                                                          <w:t>https://www.legifrance.gouv.fr/jorf/id/JORFTEXT000043898745</w:t>
                                                        </w:r>
                                                      </w:hyperlink>
                                                    </w:p>
                                                  </w:tc>
                                                </w:tr>
                                              </w:tbl>
                                              <w:tbl>
                                                <w:tblPr>
                                                  <w:tblW w:w="0" w:type="auto"/>
                                                  <w:jc w:val="center"/>
                                                  <w:tblCellMar>
                                                    <w:left w:w="0" w:type="dxa"/>
                                                    <w:right w:w="0" w:type="dxa"/>
                                                  </w:tblCellMar>
                                                  <w:tblLook w:val="04A0" w:firstRow="1" w:lastRow="0" w:firstColumn="1" w:lastColumn="0" w:noHBand="0" w:noVBand="1"/>
                                                </w:tblPr>
                                                <w:tblGrid>
                                                  <w:gridCol w:w="38"/>
                                                </w:tblGrid>
                                                <w:tr w:rsidR="001B3C41">
                                                  <w:trPr>
                                                    <w:trHeight w:val="150"/>
                                                    <w:jc w:val="center"/>
                                                  </w:trPr>
                                                  <w:tc>
                                                    <w:tcPr>
                                                      <w:tcW w:w="0" w:type="auto"/>
                                                      <w:vAlign w:val="center"/>
                                                      <w:hideMark/>
                                                    </w:tcPr>
                                                    <w:p w:rsidR="001B3C41" w:rsidRDefault="001B3C41" w:rsidP="00C62C19">
                                                      <w:pPr>
                                                        <w:spacing w:line="276" w:lineRule="auto"/>
                                                        <w:rPr>
                                                          <w:rFonts w:eastAsia="Times New Roman"/>
                                                          <w:sz w:val="15"/>
                                                          <w:szCs w:val="15"/>
                                                        </w:rPr>
                                                      </w:pPr>
                                                      <w:r>
                                                        <w:rPr>
                                                          <w:rFonts w:eastAsia="Times New Roman"/>
                                                          <w:sz w:val="15"/>
                                                          <w:szCs w:val="15"/>
                                                        </w:rPr>
                                                        <w:lastRenderedPageBreak/>
                                                        <w:t xml:space="preserve">  </w:t>
                                                      </w: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rPr>
                  </w:pPr>
                </w:p>
                <w:p w:rsidR="001B3C41" w:rsidRDefault="001B3C41" w:rsidP="00C62C19">
                  <w:pPr>
                    <w:spacing w:line="276" w:lineRule="auto"/>
                    <w:rPr>
                      <w:rFonts w:eastAsia="Times New Roman"/>
                    </w:rPr>
                  </w:pPr>
                  <w:bookmarkStart w:id="1" w:name="_GoBack"/>
                  <w:bookmarkEnd w:id="1"/>
                </w:p>
                <w:tbl>
                  <w:tblPr>
                    <w:tblW w:w="5000" w:type="pct"/>
                    <w:tblCellMar>
                      <w:left w:w="0" w:type="dxa"/>
                      <w:right w:w="0" w:type="dxa"/>
                    </w:tblCellMar>
                    <w:tblLook w:val="04A0" w:firstRow="1" w:lastRow="0" w:firstColumn="1" w:lastColumn="0" w:noHBand="0" w:noVBand="1"/>
                  </w:tblPr>
                  <w:tblGrid>
                    <w:gridCol w:w="10256"/>
                  </w:tblGrid>
                  <w:tr w:rsidR="001B3C41">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shd w:val="clear" w:color="auto" w:fill="FFFFFF"/>
                              <w:vAlign w:val="center"/>
                              <w:hideMark/>
                            </w:tcPr>
                            <w:p w:rsidR="001B3C41" w:rsidRDefault="001B3C41" w:rsidP="00C62C19">
                              <w:pPr>
                                <w:spacing w:line="276" w:lineRule="auto"/>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1B3C4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1B3C41">
                                                  <w:tc>
                                                    <w:tcPr>
                                                      <w:tcW w:w="0" w:type="auto"/>
                                                      <w:vAlign w:val="center"/>
                                                      <w:hideMark/>
                                                    </w:tcPr>
                                                    <w:p w:rsidR="001B3C41" w:rsidRDefault="001B3C41" w:rsidP="00C62C19">
                                                      <w:pPr>
                                                        <w:pStyle w:val="NormalWeb"/>
                                                        <w:spacing w:before="0" w:beforeAutospacing="0" w:after="0" w:afterAutospacing="0" w:line="276" w:lineRule="auto"/>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0"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shd w:val="clear" w:color="auto" w:fill="FFFFFF"/>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vanish/>
                          </w:rPr>
                        </w:pPr>
                      </w:p>
                      <w:tbl>
                        <w:tblPr>
                          <w:tblW w:w="5000" w:type="pct"/>
                          <w:tblCellMar>
                            <w:left w:w="0" w:type="dxa"/>
                            <w:right w:w="0" w:type="dxa"/>
                          </w:tblCellMar>
                          <w:tblLook w:val="04A0" w:firstRow="1" w:lastRow="0" w:firstColumn="1" w:lastColumn="0" w:noHBand="0" w:noVBand="1"/>
                        </w:tblPr>
                        <w:tblGrid>
                          <w:gridCol w:w="10256"/>
                        </w:tblGrid>
                        <w:tr w:rsidR="001B3C41">
                          <w:trPr>
                            <w:trHeight w:val="150"/>
                          </w:trPr>
                          <w:tc>
                            <w:tcPr>
                              <w:tcW w:w="9750" w:type="dxa"/>
                              <w:shd w:val="clear" w:color="auto" w:fill="FFFFFF"/>
                              <w:tcMar>
                                <w:top w:w="0" w:type="dxa"/>
                                <w:left w:w="150" w:type="dxa"/>
                                <w:bottom w:w="0" w:type="dxa"/>
                                <w:right w:w="150" w:type="dxa"/>
                              </w:tcMar>
                              <w:vAlign w:val="center"/>
                              <w:hideMark/>
                            </w:tcPr>
                            <w:p w:rsidR="001B3C41" w:rsidRDefault="001B3C41" w:rsidP="00C62C19">
                              <w:pPr>
                                <w:spacing w:line="276" w:lineRule="auto"/>
                                <w:rPr>
                                  <w:rFonts w:eastAsia="Times New Roman"/>
                                  <w:sz w:val="15"/>
                                  <w:szCs w:val="15"/>
                                </w:rPr>
                              </w:pPr>
                              <w:r>
                                <w:rPr>
                                  <w:rFonts w:eastAsia="Times New Roman"/>
                                  <w:sz w:val="15"/>
                                  <w:szCs w:val="15"/>
                                </w:rPr>
                                <w:t xml:space="preserve">  </w:t>
                              </w:r>
                            </w:p>
                          </w:tc>
                        </w:tr>
                      </w:tbl>
                      <w:p w:rsidR="001B3C41" w:rsidRDefault="001B3C41" w:rsidP="00C62C19">
                        <w:pPr>
                          <w:spacing w:line="276" w:lineRule="auto"/>
                          <w:rPr>
                            <w:rFonts w:eastAsia="Times New Roman"/>
                            <w:sz w:val="20"/>
                            <w:szCs w:val="20"/>
                          </w:rPr>
                        </w:pPr>
                      </w:p>
                    </w:tc>
                  </w:tr>
                  <w:tr w:rsidR="001B3C4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1B3C41">
                          <w:tc>
                            <w:tcPr>
                              <w:tcW w:w="150" w:type="dxa"/>
                              <w:vAlign w:val="center"/>
                              <w:hideMark/>
                            </w:tcPr>
                            <w:p w:rsidR="001B3C41" w:rsidRDefault="001B3C41" w:rsidP="00C62C19">
                              <w:pPr>
                                <w:spacing w:line="276" w:lineRule="auto"/>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B3C4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1B3C41">
                                            <w:tc>
                                              <w:tcPr>
                                                <w:tcW w:w="0" w:type="auto"/>
                                                <w:tcMar>
                                                  <w:top w:w="300" w:type="dxa"/>
                                                  <w:left w:w="300" w:type="dxa"/>
                                                  <w:bottom w:w="300" w:type="dxa"/>
                                                  <w:right w:w="300" w:type="dxa"/>
                                                </w:tcMar>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tr>
                            </w:tbl>
                            <w:p w:rsidR="001B3C41" w:rsidRDefault="001B3C41" w:rsidP="00C62C19">
                              <w:pPr>
                                <w:spacing w:line="276" w:lineRule="auto"/>
                                <w:jc w:val="center"/>
                                <w:rPr>
                                  <w:rFonts w:eastAsia="Times New Roman"/>
                                  <w:sz w:val="20"/>
                                  <w:szCs w:val="20"/>
                                </w:rPr>
                              </w:pPr>
                            </w:p>
                          </w:tc>
                          <w:tc>
                            <w:tcPr>
                              <w:tcW w:w="150" w:type="dxa"/>
                              <w:vAlign w:val="center"/>
                              <w:hideMark/>
                            </w:tcPr>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rPr>
                      <w:rFonts w:eastAsia="Times New Roman"/>
                      <w:sz w:val="20"/>
                      <w:szCs w:val="20"/>
                    </w:rPr>
                  </w:pPr>
                </w:p>
              </w:tc>
            </w:tr>
          </w:tbl>
          <w:p w:rsidR="001B3C41" w:rsidRDefault="001B3C41" w:rsidP="00C62C19">
            <w:pPr>
              <w:spacing w:line="276" w:lineRule="auto"/>
              <w:jc w:val="center"/>
              <w:rPr>
                <w:rFonts w:eastAsia="Times New Roman"/>
                <w:sz w:val="20"/>
                <w:szCs w:val="20"/>
              </w:rPr>
            </w:pPr>
          </w:p>
        </w:tc>
        <w:bookmarkEnd w:id="0"/>
      </w:tr>
    </w:tbl>
    <w:p w:rsidR="008E44C7" w:rsidRDefault="008E44C7" w:rsidP="00C62C19">
      <w:pPr>
        <w:spacing w:line="276" w:lineRule="auto"/>
      </w:pPr>
    </w:p>
    <w:sectPr w:rsidR="008E44C7" w:rsidSect="00C62C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6BA4"/>
    <w:multiLevelType w:val="hybridMultilevel"/>
    <w:tmpl w:val="8B1C3190"/>
    <w:lvl w:ilvl="0" w:tplc="6206E79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41"/>
    <w:rsid w:val="001B3C41"/>
    <w:rsid w:val="00252F42"/>
    <w:rsid w:val="008E44C7"/>
    <w:rsid w:val="00C62C19"/>
    <w:rsid w:val="00DB07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20E3"/>
  <w15:chartTrackingRefBased/>
  <w15:docId w15:val="{5EA948FF-CA8D-4C61-AFB4-8BCC3CD9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C4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B3C41"/>
    <w:rPr>
      <w:color w:val="0000FF"/>
      <w:u w:val="single"/>
    </w:rPr>
  </w:style>
  <w:style w:type="paragraph" w:styleId="NormalWeb">
    <w:name w:val="Normal (Web)"/>
    <w:basedOn w:val="Normal"/>
    <w:uiPriority w:val="99"/>
    <w:unhideWhenUsed/>
    <w:rsid w:val="001B3C41"/>
    <w:pPr>
      <w:spacing w:before="100" w:beforeAutospacing="1" w:after="100" w:afterAutospacing="1"/>
    </w:pPr>
  </w:style>
  <w:style w:type="character" w:styleId="lev">
    <w:name w:val="Strong"/>
    <w:basedOn w:val="Policepardfaut"/>
    <w:uiPriority w:val="22"/>
    <w:qFormat/>
    <w:rsid w:val="001B3C41"/>
    <w:rPr>
      <w:b/>
      <w:bCs/>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B3C41"/>
    <w:pPr>
      <w:spacing w:after="200" w:line="276"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1B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3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884859" TargetMode="External"/><Relationship Id="rId3" Type="http://schemas.openxmlformats.org/officeDocument/2006/relationships/settings" Target="settings.xml"/><Relationship Id="rId7" Type="http://schemas.openxmlformats.org/officeDocument/2006/relationships/hyperlink" Target="https://www.legifrance.gouv.fr/jorf/id/JORFTEXT0000438791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g.sarbacane.com/5b23cd31b85b536066d9291a/templates/l_rXJujpTIK5vTC5lm4PmA/d16db6c1423f9c979f25a4037e23c1369a4c3dcf.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https://www.legifrance.gouv.fr/jorf/id/JORFTEXT0000438987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2021-08-05T09:26:00Z</cp:lastPrinted>
  <dcterms:created xsi:type="dcterms:W3CDTF">2021-08-05T09:27:00Z</dcterms:created>
  <dcterms:modified xsi:type="dcterms:W3CDTF">2021-08-05T09:27:00Z</dcterms:modified>
</cp:coreProperties>
</file>