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8E" w:rsidRDefault="0019398E" w:rsidP="0019398E"/>
    <w:tbl>
      <w:tblPr>
        <w:tblW w:w="5000" w:type="pct"/>
        <w:shd w:val="clear" w:color="auto" w:fill="FFFFFF"/>
        <w:tblCellMar>
          <w:left w:w="0" w:type="dxa"/>
          <w:right w:w="0" w:type="dxa"/>
        </w:tblCellMar>
        <w:tblLook w:val="04A0" w:firstRow="1" w:lastRow="0" w:firstColumn="1" w:lastColumn="0" w:noHBand="0" w:noVBand="1"/>
      </w:tblPr>
      <w:tblGrid>
        <w:gridCol w:w="9072"/>
      </w:tblGrid>
      <w:tr w:rsidR="0019398E" w:rsidTr="0019398E">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19398E">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19398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9398E">
                          <w:tc>
                            <w:tcPr>
                              <w:tcW w:w="150" w:type="dxa"/>
                              <w:vAlign w:val="center"/>
                              <w:hideMark/>
                            </w:tcPr>
                            <w:p w:rsidR="0019398E" w:rsidRDefault="0019398E"/>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9398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9398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9398E">
                                            <w:tc>
                                              <w:tcPr>
                                                <w:tcW w:w="0" w:type="auto"/>
                                                <w:tcMar>
                                                  <w:top w:w="300" w:type="dxa"/>
                                                  <w:left w:w="300" w:type="dxa"/>
                                                  <w:bottom w:w="75" w:type="dxa"/>
                                                  <w:right w:w="300" w:type="dxa"/>
                                                </w:tcMar>
                                                <w:vAlign w:val="center"/>
                                                <w:hideMark/>
                                              </w:tcPr>
                                              <w:p w:rsidR="0019398E" w:rsidRDefault="0019398E">
                                                <w:pPr>
                                                  <w:rPr>
                                                    <w:rFonts w:eastAsia="Times New Roman"/>
                                                    <w:sz w:val="20"/>
                                                    <w:szCs w:val="20"/>
                                                  </w:rPr>
                                                </w:pPr>
                                              </w:p>
                                            </w:tc>
                                          </w:tr>
                                        </w:tbl>
                                        <w:p w:rsidR="0019398E" w:rsidRDefault="0019398E">
                                          <w:pPr>
                                            <w:rPr>
                                              <w:rFonts w:eastAsia="Times New Roman"/>
                                              <w:sz w:val="20"/>
                                              <w:szCs w:val="20"/>
                                            </w:rPr>
                                          </w:pPr>
                                        </w:p>
                                      </w:tc>
                                    </w:tr>
                                  </w:tbl>
                                  <w:p w:rsidR="0019398E" w:rsidRDefault="0019398E">
                                    <w:pPr>
                                      <w:jc w:val="center"/>
                                      <w:rPr>
                                        <w:rFonts w:eastAsia="Times New Roman"/>
                                        <w:sz w:val="20"/>
                                        <w:szCs w:val="20"/>
                                      </w:rPr>
                                    </w:pPr>
                                  </w:p>
                                </w:tc>
                              </w:tr>
                            </w:tbl>
                            <w:p w:rsidR="0019398E" w:rsidRDefault="0019398E">
                              <w:pPr>
                                <w:jc w:val="center"/>
                                <w:rPr>
                                  <w:rFonts w:eastAsia="Times New Roman"/>
                                  <w:sz w:val="20"/>
                                  <w:szCs w:val="20"/>
                                </w:rPr>
                              </w:pPr>
                            </w:p>
                          </w:tc>
                          <w:tc>
                            <w:tcPr>
                              <w:tcW w:w="150" w:type="dxa"/>
                              <w:vAlign w:val="center"/>
                              <w:hideMark/>
                            </w:tcPr>
                            <w:p w:rsidR="0019398E" w:rsidRDefault="0019398E">
                              <w:pPr>
                                <w:rPr>
                                  <w:rFonts w:eastAsia="Times New Roman"/>
                                  <w:sz w:val="20"/>
                                  <w:szCs w:val="20"/>
                                </w:rPr>
                              </w:pPr>
                            </w:p>
                          </w:tc>
                        </w:tr>
                      </w:tbl>
                      <w:p w:rsidR="0019398E" w:rsidRDefault="0019398E">
                        <w:pPr>
                          <w:rPr>
                            <w:rFonts w:eastAsia="Times New Roman"/>
                            <w:sz w:val="20"/>
                            <w:szCs w:val="20"/>
                          </w:rPr>
                        </w:pPr>
                      </w:p>
                    </w:tc>
                  </w:tr>
                  <w:tr w:rsidR="0019398E">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9398E">
                          <w:trPr>
                            <w:trHeight w:val="150"/>
                          </w:trPr>
                          <w:tc>
                            <w:tcPr>
                              <w:tcW w:w="9750" w:type="dxa"/>
                              <w:shd w:val="clear" w:color="auto" w:fill="FFFFFF"/>
                              <w:tcMar>
                                <w:top w:w="0" w:type="dxa"/>
                                <w:left w:w="150" w:type="dxa"/>
                                <w:bottom w:w="0" w:type="dxa"/>
                                <w:right w:w="150" w:type="dxa"/>
                              </w:tcMar>
                              <w:vAlign w:val="center"/>
                              <w:hideMark/>
                            </w:tcPr>
                            <w:p w:rsidR="0019398E" w:rsidRDefault="0019398E">
                              <w:pPr>
                                <w:spacing w:line="150" w:lineRule="exact"/>
                                <w:rPr>
                                  <w:sz w:val="15"/>
                                  <w:szCs w:val="15"/>
                                </w:rPr>
                              </w:pPr>
                              <w:r>
                                <w:rPr>
                                  <w:sz w:val="15"/>
                                  <w:szCs w:val="15"/>
                                </w:rPr>
                                <w:t xml:space="preserve">  </w:t>
                              </w:r>
                            </w:p>
                          </w:tc>
                        </w:tr>
                      </w:tbl>
                      <w:p w:rsidR="0019398E" w:rsidRDefault="0019398E">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19398E">
                          <w:trPr>
                            <w:hidden/>
                          </w:trPr>
                          <w:tc>
                            <w:tcPr>
                              <w:tcW w:w="150" w:type="dxa"/>
                              <w:shd w:val="clear" w:color="auto" w:fill="FFFFFF"/>
                              <w:vAlign w:val="center"/>
                              <w:hideMark/>
                            </w:tcPr>
                            <w:p w:rsidR="0019398E" w:rsidRDefault="0019398E">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19398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19398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19398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19398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19398E">
                                                        <w:tc>
                                                          <w:tcPr>
                                                            <w:tcW w:w="0" w:type="auto"/>
                                                            <w:vAlign w:val="center"/>
                                                            <w:hideMark/>
                                                          </w:tcPr>
                                                          <w:p w:rsidR="0019398E" w:rsidRDefault="0019398E">
                                                            <w:pPr>
                                                              <w:spacing w:line="0" w:lineRule="atLeast"/>
                                                              <w:rPr>
                                                                <w:sz w:val="2"/>
                                                                <w:szCs w:val="2"/>
                                                              </w:rPr>
                                                            </w:pPr>
                                                            <w:r>
                                                              <w:rPr>
                                                                <w:noProof/>
                                                                <w:sz w:val="2"/>
                                                                <w:szCs w:val="2"/>
                                                              </w:rPr>
                                                              <w:drawing>
                                                                <wp:inline distT="0" distB="0" distL="0" distR="0">
                                                                  <wp:extent cx="1714500" cy="1428750"/>
                                                                  <wp:effectExtent l="0" t="0" r="0" b="0"/>
                                                                  <wp:docPr id="2" name="Image 2"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19398E" w:rsidRDefault="0019398E">
                                                      <w:pPr>
                                                        <w:rPr>
                                                          <w:rFonts w:eastAsia="Times New Roman"/>
                                                          <w:sz w:val="20"/>
                                                          <w:szCs w:val="20"/>
                                                        </w:rPr>
                                                      </w:pPr>
                                                    </w:p>
                                                  </w:tc>
                                                </w:tr>
                                              </w:tbl>
                                              <w:p w:rsidR="0019398E" w:rsidRDefault="0019398E">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19398E">
                                                  <w:trPr>
                                                    <w:trHeight w:val="300"/>
                                                    <w:jc w:val="center"/>
                                                  </w:trPr>
                                                  <w:tc>
                                                    <w:tcPr>
                                                      <w:tcW w:w="0" w:type="auto"/>
                                                      <w:vAlign w:val="center"/>
                                                      <w:hideMark/>
                                                    </w:tcPr>
                                                    <w:p w:rsidR="0019398E" w:rsidRDefault="0019398E">
                                                      <w:pPr>
                                                        <w:spacing w:line="300" w:lineRule="exact"/>
                                                        <w:rPr>
                                                          <w:sz w:val="30"/>
                                                          <w:szCs w:val="30"/>
                                                        </w:rPr>
                                                      </w:pPr>
                                                      <w:r>
                                                        <w:rPr>
                                                          <w:sz w:val="30"/>
                                                          <w:szCs w:val="30"/>
                                                        </w:rPr>
                                                        <w:t xml:space="preserve">  </w:t>
                                                      </w:r>
                                                    </w:p>
                                                  </w:tc>
                                                </w:tr>
                                              </w:tbl>
                                              <w:p w:rsidR="0019398E" w:rsidRDefault="0019398E">
                                                <w:pPr>
                                                  <w:jc w:val="center"/>
                                                  <w:rPr>
                                                    <w:sz w:val="20"/>
                                                    <w:szCs w:val="20"/>
                                                  </w:rPr>
                                                </w:pPr>
                                              </w:p>
                                            </w:tc>
                                          </w:tr>
                                        </w:tbl>
                                        <w:p w:rsidR="0019398E" w:rsidRDefault="0019398E">
                                          <w:pPr>
                                            <w:rPr>
                                              <w:rFonts w:eastAsia="Times New Roman"/>
                                              <w:sz w:val="20"/>
                                              <w:szCs w:val="20"/>
                                            </w:rPr>
                                          </w:pPr>
                                        </w:p>
                                      </w:tc>
                                    </w:tr>
                                  </w:tbl>
                                  <w:p w:rsidR="0019398E" w:rsidRDefault="0019398E">
                                    <w:pPr>
                                      <w:jc w:val="center"/>
                                      <w:rPr>
                                        <w:rFonts w:eastAsia="Times New Roman"/>
                                        <w:sz w:val="20"/>
                                        <w:szCs w:val="20"/>
                                      </w:rPr>
                                    </w:pPr>
                                  </w:p>
                                </w:tc>
                              </w:tr>
                            </w:tbl>
                            <w:p w:rsidR="0019398E" w:rsidRDefault="0019398E">
                              <w:pPr>
                                <w:jc w:val="center"/>
                                <w:rPr>
                                  <w:rFonts w:eastAsia="Times New Roman"/>
                                  <w:sz w:val="20"/>
                                  <w:szCs w:val="20"/>
                                </w:rPr>
                              </w:pPr>
                            </w:p>
                          </w:tc>
                          <w:tc>
                            <w:tcPr>
                              <w:tcW w:w="150" w:type="dxa"/>
                              <w:shd w:val="clear" w:color="auto" w:fill="FFFFFF"/>
                              <w:vAlign w:val="center"/>
                              <w:hideMark/>
                            </w:tcPr>
                            <w:p w:rsidR="0019398E" w:rsidRDefault="0019398E">
                              <w:pPr>
                                <w:rPr>
                                  <w:rFonts w:eastAsia="Times New Roman"/>
                                  <w:sz w:val="20"/>
                                  <w:szCs w:val="20"/>
                                </w:rPr>
                              </w:pPr>
                            </w:p>
                          </w:tc>
                        </w:tr>
                      </w:tbl>
                      <w:p w:rsidR="0019398E" w:rsidRDefault="0019398E">
                        <w:pPr>
                          <w:rPr>
                            <w:sz w:val="20"/>
                            <w:szCs w:val="20"/>
                          </w:rPr>
                        </w:pPr>
                      </w:p>
                    </w:tc>
                  </w:tr>
                </w:tbl>
                <w:p w:rsidR="0019398E" w:rsidRDefault="0019398E"/>
                <w:tbl>
                  <w:tblPr>
                    <w:tblW w:w="5000" w:type="pct"/>
                    <w:tblCellMar>
                      <w:left w:w="0" w:type="dxa"/>
                      <w:right w:w="0" w:type="dxa"/>
                    </w:tblCellMar>
                    <w:tblLook w:val="04A0" w:firstRow="1" w:lastRow="0" w:firstColumn="1" w:lastColumn="0" w:noHBand="0" w:noVBand="1"/>
                  </w:tblPr>
                  <w:tblGrid>
                    <w:gridCol w:w="9072"/>
                  </w:tblGrid>
                  <w:tr w:rsidR="0019398E">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19398E">
                          <w:tc>
                            <w:tcPr>
                              <w:tcW w:w="150" w:type="dxa"/>
                              <w:shd w:val="clear" w:color="auto" w:fill="FFFFFF"/>
                              <w:vAlign w:val="center"/>
                              <w:hideMark/>
                            </w:tcPr>
                            <w:p w:rsidR="0019398E" w:rsidRDefault="0019398E"/>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19398E">
                                <w:trPr>
                                  <w:jc w:val="center"/>
                                </w:trPr>
                                <w:tc>
                                  <w:tcPr>
                                    <w:tcW w:w="0" w:type="auto"/>
                                    <w:shd w:val="clear" w:color="auto" w:fill="FFFFFF"/>
                                    <w:vAlign w:val="center"/>
                                  </w:tcPr>
                                  <w:p w:rsidR="0019398E" w:rsidRDefault="0019398E">
                                    <w:pPr>
                                      <w:rPr>
                                        <w:rFonts w:ascii="Calibri" w:hAnsi="Calibri" w:cs="Calibri"/>
                                        <w:color w:val="1F497D"/>
                                        <w:sz w:val="22"/>
                                        <w:szCs w:val="22"/>
                                      </w:rPr>
                                    </w:pPr>
                                  </w:p>
                                  <w:tbl>
                                    <w:tblPr>
                                      <w:tblW w:w="5000" w:type="pct"/>
                                      <w:jc w:val="center"/>
                                      <w:tblCellMar>
                                        <w:left w:w="0" w:type="dxa"/>
                                        <w:right w:w="0" w:type="dxa"/>
                                      </w:tblCellMar>
                                      <w:tblLook w:val="04A0" w:firstRow="1" w:lastRow="0" w:firstColumn="1" w:lastColumn="0" w:noHBand="0" w:noVBand="1"/>
                                    </w:tblPr>
                                    <w:tblGrid>
                                      <w:gridCol w:w="8809"/>
                                    </w:tblGrid>
                                    <w:tr w:rsidR="0019398E">
                                      <w:trPr>
                                        <w:jc w:val="center"/>
                                      </w:trPr>
                                      <w:tc>
                                        <w:tcPr>
                                          <w:tcW w:w="5000" w:type="pct"/>
                                        </w:tcPr>
                                        <w:p w:rsidR="0019398E" w:rsidRDefault="0019398E">
                                          <w:pPr>
                                            <w:rPr>
                                              <w:rFonts w:ascii="Calibri" w:hAnsi="Calibri" w:cs="Calibri"/>
                                              <w:color w:val="1F497D"/>
                                              <w:sz w:val="22"/>
                                              <w:szCs w:val="22"/>
                                            </w:rPr>
                                          </w:pPr>
                                        </w:p>
                                        <w:tbl>
                                          <w:tblPr>
                                            <w:tblW w:w="5000" w:type="pct"/>
                                            <w:tblCellMar>
                                              <w:left w:w="0" w:type="dxa"/>
                                              <w:right w:w="0" w:type="dxa"/>
                                            </w:tblCellMar>
                                            <w:tblLook w:val="04A0" w:firstRow="1" w:lastRow="0" w:firstColumn="1" w:lastColumn="0" w:noHBand="0" w:noVBand="1"/>
                                          </w:tblPr>
                                          <w:tblGrid>
                                            <w:gridCol w:w="8809"/>
                                          </w:tblGrid>
                                          <w:tr w:rsidR="0019398E">
                                            <w:tc>
                                              <w:tcPr>
                                                <w:tcW w:w="0" w:type="auto"/>
                                                <w:tcMar>
                                                  <w:top w:w="300" w:type="dxa"/>
                                                  <w:left w:w="300" w:type="dxa"/>
                                                  <w:bottom w:w="300" w:type="dxa"/>
                                                  <w:right w:w="300" w:type="dxa"/>
                                                </w:tcMar>
                                                <w:vAlign w:val="center"/>
                                              </w:tcPr>
                                              <w:p w:rsidR="0019398E" w:rsidRDefault="0019398E">
                                                <w:pPr>
                                                  <w:jc w:val="center"/>
                                                  <w:rPr>
                                                    <w:rFonts w:ascii="Calibri" w:hAnsi="Calibri" w:cs="Calibri"/>
                                                    <w:color w:val="1F497D"/>
                                                    <w:sz w:val="22"/>
                                                    <w:szCs w:val="22"/>
                                                  </w:rPr>
                                                </w:pPr>
                                                <w:r>
                                                  <w:rPr>
                                                    <w:noProof/>
                                                  </w:rPr>
                                                  <w:drawing>
                                                    <wp:inline distT="0" distB="0" distL="0" distR="0">
                                                      <wp:extent cx="1219200" cy="1171575"/>
                                                      <wp:effectExtent l="0" t="0" r="0" b="9525"/>
                                                      <wp:docPr id="1" name="Image 1" descr="cid:image001.png@01D8379F.6F33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8379F.6F3324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a:ln>
                                                                <a:noFill/>
                                                              </a:ln>
                                                            </pic:spPr>
                                                          </pic:pic>
                                                        </a:graphicData>
                                                      </a:graphic>
                                                    </wp:inline>
                                                  </w:drawing>
                                                </w:r>
                                              </w:p>
                                              <w:p w:rsidR="0019398E" w:rsidRDefault="0019398E">
                                                <w:pPr>
                                                  <w:jc w:val="center"/>
                                                  <w:rPr>
                                                    <w:rFonts w:ascii="Calibri" w:hAnsi="Calibri" w:cs="Calibri"/>
                                                    <w:color w:val="1F497D"/>
                                                    <w:sz w:val="22"/>
                                                    <w:szCs w:val="22"/>
                                                  </w:rPr>
                                                </w:pPr>
                                              </w:p>
                                              <w:p w:rsidR="0019398E" w:rsidRDefault="0019398E">
                                                <w:pPr>
                                                  <w:jc w:val="center"/>
                                                  <w:rPr>
                                                    <w:rFonts w:ascii="Calibri" w:hAnsi="Calibri" w:cs="Calibri"/>
                                                    <w:color w:val="1F497D"/>
                                                    <w:sz w:val="22"/>
                                                    <w:szCs w:val="22"/>
                                                  </w:rPr>
                                                </w:pPr>
                                              </w:p>
                                              <w:tbl>
                                                <w:tblPr>
                                                  <w:tblpPr w:vertAnchor="text"/>
                                                  <w:tblW w:w="5000" w:type="pct"/>
                                                  <w:tblCellMar>
                                                    <w:left w:w="0" w:type="dxa"/>
                                                    <w:right w:w="0" w:type="dxa"/>
                                                  </w:tblCellMar>
                                                  <w:tblLook w:val="04A0" w:firstRow="1" w:lastRow="0" w:firstColumn="1" w:lastColumn="0" w:noHBand="0" w:noVBand="1"/>
                                                </w:tblPr>
                                                <w:tblGrid>
                                                  <w:gridCol w:w="8209"/>
                                                </w:tblGrid>
                                                <w:tr w:rsidR="0019398E">
                                                  <w:tc>
                                                    <w:tcPr>
                                                      <w:tcW w:w="0" w:type="auto"/>
                                                      <w:vAlign w:val="center"/>
                                                      <w:hideMark/>
                                                    </w:tcPr>
                                                    <w:p w:rsidR="0019398E" w:rsidRDefault="0019398E">
                                                      <w:pPr>
                                                        <w:pStyle w:val="NormalWeb"/>
                                                        <w:spacing w:before="0" w:beforeAutospacing="0" w:after="0" w:afterAutospacing="0" w:line="390" w:lineRule="exact"/>
                                                        <w:jc w:val="center"/>
                                                        <w:rPr>
                                                          <w:rFonts w:ascii="Arial" w:hAnsi="Arial" w:cs="Arial"/>
                                                          <w:b/>
                                                          <w:bCs/>
                                                          <w:color w:val="000000"/>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19398E">
                                                  <w:trPr>
                                                    <w:trHeight w:val="300"/>
                                                    <w:jc w:val="center"/>
                                                  </w:trPr>
                                                  <w:tc>
                                                    <w:tcPr>
                                                      <w:tcW w:w="0" w:type="auto"/>
                                                      <w:vAlign w:val="center"/>
                                                      <w:hideMark/>
                                                    </w:tcPr>
                                                    <w:p w:rsidR="0019398E" w:rsidRDefault="0019398E">
                                                      <w:pPr>
                                                        <w:spacing w:line="300" w:lineRule="exact"/>
                                                        <w:rPr>
                                                          <w:sz w:val="30"/>
                                                          <w:szCs w:val="30"/>
                                                        </w:rPr>
                                                      </w:pPr>
                                                      <w:r>
                                                        <w:rPr>
                                                          <w:sz w:val="30"/>
                                                          <w:szCs w:val="30"/>
                                                        </w:rPr>
                                                        <w:t xml:space="preserve">  </w:t>
                                                      </w:r>
                                                    </w:p>
                                                  </w:tc>
                                                </w:tr>
                                              </w:tbl>
                                              <w:p w:rsidR="0019398E" w:rsidRDefault="0019398E">
                                                <w:pPr>
                                                  <w:jc w:val="center"/>
                                                </w:pPr>
                                              </w:p>
                                            </w:tc>
                                          </w:tr>
                                        </w:tbl>
                                        <w:p w:rsidR="0019398E" w:rsidRDefault="0019398E"/>
                                      </w:tc>
                                    </w:tr>
                                  </w:tbl>
                                  <w:p w:rsidR="0019398E" w:rsidRDefault="0019398E">
                                    <w:pPr>
                                      <w:jc w:val="center"/>
                                    </w:pPr>
                                  </w:p>
                                </w:tc>
                              </w:tr>
                            </w:tbl>
                            <w:p w:rsidR="0019398E" w:rsidRDefault="0019398E">
                              <w:pPr>
                                <w:jc w:val="center"/>
                                <w:rPr>
                                  <w:rFonts w:eastAsia="Times New Roman"/>
                                  <w:sz w:val="20"/>
                                  <w:szCs w:val="20"/>
                                </w:rPr>
                              </w:pPr>
                            </w:p>
                          </w:tc>
                          <w:tc>
                            <w:tcPr>
                              <w:tcW w:w="150" w:type="dxa"/>
                              <w:shd w:val="clear" w:color="auto" w:fill="FFFFFF"/>
                              <w:vAlign w:val="center"/>
                              <w:hideMark/>
                            </w:tcPr>
                            <w:p w:rsidR="0019398E" w:rsidRDefault="0019398E">
                              <w:pPr>
                                <w:rPr>
                                  <w:rFonts w:eastAsia="Times New Roman"/>
                                  <w:sz w:val="20"/>
                                  <w:szCs w:val="20"/>
                                </w:rPr>
                              </w:pPr>
                            </w:p>
                          </w:tc>
                        </w:tr>
                      </w:tbl>
                      <w:p w:rsidR="0019398E" w:rsidRDefault="0019398E">
                        <w:pPr>
                          <w:rPr>
                            <w:rFonts w:eastAsia="Times New Roman"/>
                            <w:sz w:val="20"/>
                            <w:szCs w:val="20"/>
                          </w:rPr>
                        </w:pPr>
                      </w:p>
                    </w:tc>
                  </w:tr>
                  <w:tr w:rsidR="0019398E">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9398E">
                          <w:tc>
                            <w:tcPr>
                              <w:tcW w:w="150" w:type="dxa"/>
                              <w:shd w:val="clear" w:color="auto" w:fill="FFFFFF"/>
                              <w:vAlign w:val="center"/>
                              <w:hideMark/>
                            </w:tcPr>
                            <w:p w:rsidR="0019398E" w:rsidRDefault="0019398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19398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19398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939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9398E">
                                                  <w:tc>
                                                    <w:tcPr>
                                                      <w:tcW w:w="0" w:type="auto"/>
                                                      <w:vAlign w:val="center"/>
                                                      <w:hideMark/>
                                                    </w:tcPr>
                                                    <w:p w:rsidR="0019398E" w:rsidRDefault="0019398E">
                                                      <w:pPr>
                                                        <w:pStyle w:val="NormalWeb"/>
                                                        <w:spacing w:before="0" w:beforeAutospacing="0" w:after="0" w:afterAutospacing="0" w:line="390" w:lineRule="exact"/>
                                                        <w:jc w:val="right"/>
                                                        <w:rPr>
                                                          <w:rFonts w:ascii="Arial" w:hAnsi="Arial" w:cs="Arial"/>
                                                          <w:color w:val="3B3838"/>
                                                          <w:sz w:val="26"/>
                                                          <w:szCs w:val="26"/>
                                                        </w:rPr>
                                                      </w:pPr>
                                                      <w:r>
                                                        <w:rPr>
                                                          <w:rFonts w:ascii="Arial" w:hAnsi="Arial" w:cs="Arial"/>
                                                          <w:color w:val="3B3838"/>
                                                          <w:sz w:val="18"/>
                                                          <w:szCs w:val="18"/>
                                                        </w:rPr>
                                                        <w:t>Paris, le 14/03/2022</w:t>
                                                      </w:r>
                                                    </w:p>
                                                  </w:tc>
                                                </w:tr>
                                              </w:tbl>
                                              <w:p w:rsidR="0019398E" w:rsidRDefault="0019398E">
                                                <w:pPr>
                                                  <w:rPr>
                                                    <w:rFonts w:eastAsia="Times New Roman"/>
                                                    <w:sz w:val="20"/>
                                                    <w:szCs w:val="20"/>
                                                  </w:rPr>
                                                </w:pPr>
                                              </w:p>
                                            </w:tc>
                                          </w:tr>
                                        </w:tbl>
                                        <w:p w:rsidR="0019398E" w:rsidRDefault="0019398E">
                                          <w:pPr>
                                            <w:rPr>
                                              <w:rFonts w:eastAsia="Times New Roman"/>
                                              <w:sz w:val="20"/>
                                              <w:szCs w:val="20"/>
                                            </w:rPr>
                                          </w:pPr>
                                        </w:p>
                                      </w:tc>
                                    </w:tr>
                                  </w:tbl>
                                  <w:p w:rsidR="0019398E" w:rsidRDefault="0019398E">
                                    <w:pPr>
                                      <w:jc w:val="center"/>
                                      <w:rPr>
                                        <w:rFonts w:eastAsia="Times New Roman"/>
                                        <w:sz w:val="20"/>
                                        <w:szCs w:val="20"/>
                                      </w:rPr>
                                    </w:pPr>
                                  </w:p>
                                </w:tc>
                              </w:tr>
                            </w:tbl>
                            <w:p w:rsidR="0019398E" w:rsidRDefault="0019398E">
                              <w:pPr>
                                <w:jc w:val="center"/>
                                <w:rPr>
                                  <w:rFonts w:eastAsia="Times New Roman"/>
                                  <w:sz w:val="20"/>
                                  <w:szCs w:val="20"/>
                                </w:rPr>
                              </w:pPr>
                            </w:p>
                          </w:tc>
                          <w:tc>
                            <w:tcPr>
                              <w:tcW w:w="150" w:type="dxa"/>
                              <w:shd w:val="clear" w:color="auto" w:fill="FFFFFF"/>
                              <w:vAlign w:val="center"/>
                              <w:hideMark/>
                            </w:tcPr>
                            <w:p w:rsidR="0019398E" w:rsidRDefault="0019398E">
                              <w:pPr>
                                <w:rPr>
                                  <w:rFonts w:eastAsia="Times New Roman"/>
                                  <w:sz w:val="20"/>
                                  <w:szCs w:val="20"/>
                                </w:rPr>
                              </w:pPr>
                            </w:p>
                          </w:tc>
                        </w:tr>
                      </w:tbl>
                      <w:p w:rsidR="0019398E" w:rsidRDefault="0019398E">
                        <w:pPr>
                          <w:rPr>
                            <w:rFonts w:eastAsia="Times New Roman"/>
                            <w:sz w:val="20"/>
                            <w:szCs w:val="20"/>
                          </w:rPr>
                        </w:pPr>
                      </w:p>
                    </w:tc>
                  </w:tr>
                </w:tbl>
                <w:p w:rsidR="0019398E" w:rsidRDefault="0019398E"/>
                <w:tbl>
                  <w:tblPr>
                    <w:tblW w:w="5000" w:type="pct"/>
                    <w:tblCellMar>
                      <w:left w:w="0" w:type="dxa"/>
                      <w:right w:w="0" w:type="dxa"/>
                    </w:tblCellMar>
                    <w:tblLook w:val="04A0" w:firstRow="1" w:lastRow="0" w:firstColumn="1" w:lastColumn="0" w:noHBand="0" w:noVBand="1"/>
                  </w:tblPr>
                  <w:tblGrid>
                    <w:gridCol w:w="9072"/>
                  </w:tblGrid>
                  <w:tr w:rsidR="0019398E">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19398E">
                          <w:tc>
                            <w:tcPr>
                              <w:tcW w:w="150" w:type="dxa"/>
                              <w:shd w:val="clear" w:color="auto" w:fill="FFFFFF"/>
                              <w:vAlign w:val="center"/>
                              <w:hideMark/>
                            </w:tcPr>
                            <w:p w:rsidR="0019398E" w:rsidRDefault="0019398E"/>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19398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30"/>
                                      <w:gridCol w:w="3382"/>
                                    </w:tblGrid>
                                    <w:tr w:rsidR="0019398E">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5430"/>
                                          </w:tblGrid>
                                          <w:tr w:rsidR="001939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830"/>
                                                </w:tblGrid>
                                                <w:tr w:rsidR="0019398E">
                                                  <w:trPr>
                                                    <w:trHeight w:val="1501"/>
                                                  </w:trPr>
                                                  <w:tc>
                                                    <w:tcPr>
                                                      <w:tcW w:w="0" w:type="auto"/>
                                                      <w:vAlign w:val="center"/>
                                                      <w:hideMark/>
                                                    </w:tcPr>
                                                    <w:p w:rsidR="0019398E" w:rsidRDefault="0019398E">
                                                      <w:pPr>
                                                        <w:pStyle w:val="NormalWeb"/>
                                                        <w:spacing w:before="0" w:beforeAutospacing="0" w:after="0" w:afterAutospacing="0" w:line="330" w:lineRule="exact"/>
                                                        <w:jc w:val="both"/>
                                                        <w:rPr>
                                                          <w:rFonts w:ascii="Arial" w:hAnsi="Arial" w:cs="Arial"/>
                                                          <w:color w:val="393939"/>
                                                          <w:sz w:val="22"/>
                                                          <w:szCs w:val="22"/>
                                                        </w:rPr>
                                                      </w:pPr>
                                                      <w:bookmarkStart w:id="0" w:name="_GoBack"/>
                                                      <w:r>
                                                        <w:rPr>
                                                          <w:rStyle w:val="lev"/>
                                                          <w:rFonts w:ascii="Arial" w:hAnsi="Arial" w:cs="Arial"/>
                                                          <w:color w:val="3B3838"/>
                                                          <w:sz w:val="22"/>
                                                          <w:szCs w:val="22"/>
                                                        </w:rPr>
                                                        <w:t>Les États membres arrêtent leur position sur une directive européenne visant à renforcer l’égalité entre les femmes et les hommes dans les conseils d’administration</w:t>
                                                      </w:r>
                                                      <w:bookmarkEnd w:id="0"/>
                                                    </w:p>
                                                  </w:tc>
                                                </w:tr>
                                              </w:tbl>
                                              <w:p w:rsidR="0019398E" w:rsidRDefault="0019398E">
                                                <w:pPr>
                                                  <w:rPr>
                                                    <w:rFonts w:eastAsia="Times New Roman"/>
                                                    <w:sz w:val="20"/>
                                                    <w:szCs w:val="20"/>
                                                  </w:rPr>
                                                </w:pPr>
                                              </w:p>
                                            </w:tc>
                                          </w:tr>
                                        </w:tbl>
                                        <w:p w:rsidR="0019398E" w:rsidRDefault="0019398E">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3382"/>
                                          </w:tblGrid>
                                          <w:tr w:rsidR="0019398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9398E">
                                                  <w:trPr>
                                                    <w:trHeight w:val="300"/>
                                                    <w:jc w:val="center"/>
                                                  </w:trPr>
                                                  <w:tc>
                                                    <w:tcPr>
                                                      <w:tcW w:w="0" w:type="auto"/>
                                                      <w:vAlign w:val="center"/>
                                                      <w:hideMark/>
                                                    </w:tcPr>
                                                    <w:p w:rsidR="0019398E" w:rsidRDefault="0019398E">
                                                      <w:pPr>
                                                        <w:spacing w:line="300" w:lineRule="exact"/>
                                                        <w:rPr>
                                                          <w:sz w:val="30"/>
                                                          <w:szCs w:val="30"/>
                                                        </w:rPr>
                                                      </w:pPr>
                                                      <w:r>
                                                        <w:rPr>
                                                          <w:sz w:val="30"/>
                                                          <w:szCs w:val="30"/>
                                                        </w:rPr>
                                                        <w:t xml:space="preserve">  </w:t>
                                                      </w:r>
                                                    </w:p>
                                                  </w:tc>
                                                </w:tr>
                                              </w:tbl>
                                              <w:p w:rsidR="0019398E" w:rsidRDefault="0019398E">
                                                <w:pPr>
                                                  <w:jc w:val="center"/>
                                                  <w:rPr>
                                                    <w:rFonts w:eastAsia="Times New Roman"/>
                                                    <w:sz w:val="20"/>
                                                    <w:szCs w:val="20"/>
                                                  </w:rPr>
                                                </w:pPr>
                                              </w:p>
                                            </w:tc>
                                          </w:tr>
                                        </w:tbl>
                                        <w:p w:rsidR="0019398E" w:rsidRDefault="0019398E">
                                          <w:pPr>
                                            <w:rPr>
                                              <w:rFonts w:eastAsia="Times New Roman"/>
                                              <w:sz w:val="20"/>
                                              <w:szCs w:val="20"/>
                                            </w:rPr>
                                          </w:pPr>
                                        </w:p>
                                      </w:tc>
                                    </w:tr>
                                  </w:tbl>
                                  <w:p w:rsidR="0019398E" w:rsidRDefault="0019398E">
                                    <w:pPr>
                                      <w:jc w:val="center"/>
                                      <w:rPr>
                                        <w:rFonts w:eastAsia="Times New Roman"/>
                                        <w:sz w:val="20"/>
                                        <w:szCs w:val="20"/>
                                      </w:rPr>
                                    </w:pPr>
                                  </w:p>
                                </w:tc>
                              </w:tr>
                            </w:tbl>
                            <w:p w:rsidR="0019398E" w:rsidRDefault="0019398E">
                              <w:pPr>
                                <w:jc w:val="center"/>
                                <w:rPr>
                                  <w:rFonts w:eastAsia="Times New Roman"/>
                                  <w:sz w:val="20"/>
                                  <w:szCs w:val="20"/>
                                </w:rPr>
                              </w:pPr>
                            </w:p>
                          </w:tc>
                          <w:tc>
                            <w:tcPr>
                              <w:tcW w:w="150" w:type="dxa"/>
                              <w:shd w:val="clear" w:color="auto" w:fill="FFFFFF"/>
                              <w:vAlign w:val="center"/>
                              <w:hideMark/>
                            </w:tcPr>
                            <w:p w:rsidR="0019398E" w:rsidRDefault="0019398E">
                              <w:pPr>
                                <w:rPr>
                                  <w:rFonts w:eastAsia="Times New Roman"/>
                                  <w:sz w:val="20"/>
                                  <w:szCs w:val="20"/>
                                </w:rPr>
                              </w:pPr>
                            </w:p>
                          </w:tc>
                        </w:tr>
                      </w:tbl>
                      <w:p w:rsidR="0019398E" w:rsidRDefault="0019398E">
                        <w:pPr>
                          <w:rPr>
                            <w:rFonts w:eastAsia="Times New Roman"/>
                            <w:sz w:val="20"/>
                            <w:szCs w:val="20"/>
                          </w:rPr>
                        </w:pPr>
                      </w:p>
                    </w:tc>
                  </w:tr>
                  <w:tr w:rsidR="0019398E">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9398E">
                          <w:tc>
                            <w:tcPr>
                              <w:tcW w:w="150" w:type="dxa"/>
                              <w:shd w:val="clear" w:color="auto" w:fill="FFFFFF"/>
                              <w:vAlign w:val="center"/>
                              <w:hideMark/>
                            </w:tcPr>
                            <w:p w:rsidR="0019398E" w:rsidRDefault="0019398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19398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19398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1939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9398E">
                                                  <w:tc>
                                                    <w:tcPr>
                                                      <w:tcW w:w="0" w:type="auto"/>
                                                      <w:vAlign w:val="center"/>
                                                    </w:tcPr>
                                                    <w:p w:rsidR="0019398E" w:rsidRDefault="0019398E">
                                                      <w:pPr>
                                                        <w:shd w:val="clear" w:color="auto" w:fill="FFFFFF"/>
                                                        <w:spacing w:before="100" w:beforeAutospacing="1" w:after="100" w:afterAutospacing="1"/>
                                                        <w:jc w:val="both"/>
                                                        <w:rPr>
                                                          <w:rFonts w:ascii="Arial" w:hAnsi="Arial" w:cs="Arial"/>
                                                          <w:b/>
                                                          <w:bCs/>
                                                          <w:color w:val="3B3838"/>
                                                          <w:sz w:val="22"/>
                                                          <w:szCs w:val="22"/>
                                                        </w:rPr>
                                                      </w:pPr>
                                                      <w:r>
                                                        <w:rPr>
                                                          <w:rFonts w:ascii="Arial" w:hAnsi="Arial" w:cs="Arial"/>
                                                          <w:b/>
                                                          <w:bCs/>
                                                          <w:color w:val="3B3838"/>
                                                          <w:sz w:val="22"/>
                                                          <w:szCs w:val="22"/>
                                                        </w:rPr>
                                                        <w:t>Les ministres de l'emploi et des affaires sociales sont parvenus aujourd'hui à une « orientation générale » sur une proposition de législation de l'UE visant à améliorer l'équilibre hommes-femmes parmi les administrateurs non exécutifs des sociétés cotées.</w:t>
                                                      </w:r>
                                                    </w:p>
                                                    <w:p w:rsidR="0019398E" w:rsidRDefault="0019398E">
                                                      <w:pPr>
                                                        <w:shd w:val="clear" w:color="auto" w:fill="FFFFFF"/>
                                                        <w:jc w:val="both"/>
                                                        <w:rPr>
                                                          <w:rFonts w:ascii="Arial" w:hAnsi="Arial" w:cs="Arial"/>
                                                          <w:color w:val="3B3838"/>
                                                          <w:sz w:val="21"/>
                                                          <w:szCs w:val="21"/>
                                                        </w:rPr>
                                                      </w:pPr>
                                                      <w:r>
                                                        <w:rPr>
                                                          <w:rFonts w:ascii="Arial" w:hAnsi="Arial" w:cs="Arial"/>
                                                          <w:color w:val="3B3838"/>
                                                          <w:sz w:val="21"/>
                                                          <w:szCs w:val="21"/>
                                                        </w:rPr>
                                                        <w:t>« </w:t>
                                                      </w:r>
                                                      <w:r>
                                                        <w:rPr>
                                                          <w:rFonts w:ascii="Arial" w:hAnsi="Arial" w:cs="Arial"/>
                                                          <w:i/>
                                                          <w:iCs/>
                                                          <w:color w:val="3B3838"/>
                                                          <w:sz w:val="21"/>
                                                          <w:szCs w:val="21"/>
                                                        </w:rPr>
                                                        <w:t xml:space="preserve">L'accord intervenu aujourd'hui au Conseil constitue une étape importante. J’appelle de mes vœux le début rapide des négociations avec le Parlement européen pour parvenir à une adoption définitive de cette directive qui permettra de lutter contre le plafond de verre </w:t>
                                                      </w:r>
                                                      <w:r>
                                                        <w:rPr>
                                                          <w:rFonts w:ascii="Arial" w:hAnsi="Arial" w:cs="Arial"/>
                                                          <w:i/>
                                                          <w:iCs/>
                                                          <w:color w:val="3B3838"/>
                                                          <w:sz w:val="21"/>
                                                          <w:szCs w:val="21"/>
                                                        </w:rPr>
                                                        <w:lastRenderedPageBreak/>
                                                        <w:t>auquel les femmes sont encore trop souvent confrontées dans le monde du travail.</w:t>
                                                      </w:r>
                                                      <w:r>
                                                        <w:rPr>
                                                          <w:rFonts w:ascii="Arial" w:hAnsi="Arial" w:cs="Arial"/>
                                                          <w:color w:val="3B3838"/>
                                                          <w:sz w:val="21"/>
                                                          <w:szCs w:val="21"/>
                                                        </w:rPr>
                                                        <w:t xml:space="preserve"> » </w:t>
                                                      </w:r>
                                                      <w:r>
                                                        <w:rPr>
                                                          <w:rFonts w:ascii="Arial" w:hAnsi="Arial" w:cs="Arial"/>
                                                          <w:b/>
                                                          <w:bCs/>
                                                          <w:color w:val="3B3838"/>
                                                          <w:sz w:val="21"/>
                                                          <w:szCs w:val="21"/>
                                                        </w:rPr>
                                                        <w:t>déclare Élisabeth Borne</w:t>
                                                      </w:r>
                                                      <w:r>
                                                        <w:rPr>
                                                          <w:rFonts w:ascii="Arial" w:hAnsi="Arial" w:cs="Arial"/>
                                                          <w:color w:val="3B3838"/>
                                                          <w:sz w:val="21"/>
                                                          <w:szCs w:val="21"/>
                                                        </w:rPr>
                                                        <w:t>, ministre du Travail, de l'Emploi et de l'Insertion</w:t>
                                                      </w:r>
                                                      <w:r>
                                                        <w:rPr>
                                                          <w:rFonts w:ascii="Arial" w:hAnsi="Arial" w:cs="Arial"/>
                                                          <w:color w:val="000000"/>
                                                          <w:sz w:val="21"/>
                                                          <w:szCs w:val="21"/>
                                                        </w:rPr>
                                                        <w:t xml:space="preserve">. </w:t>
                                                      </w:r>
                                                    </w:p>
                                                    <w:p w:rsidR="0019398E" w:rsidRDefault="0019398E">
                                                      <w:pPr>
                                                        <w:shd w:val="clear" w:color="auto" w:fill="FFFFFF"/>
                                                        <w:jc w:val="both"/>
                                                        <w:rPr>
                                                          <w:rFonts w:ascii="Arial" w:hAnsi="Arial" w:cs="Arial"/>
                                                          <w:color w:val="3B3838"/>
                                                          <w:sz w:val="21"/>
                                                          <w:szCs w:val="21"/>
                                                        </w:rPr>
                                                      </w:pPr>
                                                    </w:p>
                                                    <w:p w:rsidR="0019398E" w:rsidRDefault="0019398E">
                                                      <w:pPr>
                                                        <w:shd w:val="clear" w:color="auto" w:fill="FFFFFF"/>
                                                        <w:jc w:val="both"/>
                                                        <w:rPr>
                                                          <w:rFonts w:ascii="Arial" w:hAnsi="Arial" w:cs="Arial"/>
                                                          <w:color w:val="3B3838"/>
                                                          <w:sz w:val="21"/>
                                                          <w:szCs w:val="21"/>
                                                        </w:rPr>
                                                      </w:pPr>
                                                    </w:p>
                                                    <w:p w:rsidR="0019398E" w:rsidRDefault="0019398E">
                                                      <w:pPr>
                                                        <w:shd w:val="clear" w:color="auto" w:fill="FFFFFF"/>
                                                        <w:spacing w:after="100" w:afterAutospacing="1"/>
                                                        <w:jc w:val="both"/>
                                                        <w:rPr>
                                                          <w:rFonts w:ascii="Arial" w:hAnsi="Arial" w:cs="Arial"/>
                                                          <w:color w:val="3B3838"/>
                                                          <w:sz w:val="21"/>
                                                          <w:szCs w:val="21"/>
                                                        </w:rPr>
                                                      </w:pPr>
                                                      <w:r>
                                                        <w:rPr>
                                                          <w:rFonts w:ascii="Arial" w:hAnsi="Arial" w:cs="Arial"/>
                                                          <w:color w:val="3B3838"/>
                                                          <w:sz w:val="21"/>
                                                          <w:szCs w:val="21"/>
                                                        </w:rPr>
                                                        <w:t xml:space="preserve">Cette directive vise à fixer un objectif quantitatif pour la proportion de membres du sexe sous-représenté au sein des conseils d'administration des sociétés cotées. Les entreprises devraient ainsi mettre en place des mesures pour atteindre l'objectif minimal, d'ici à 2027, soit de 40 % de membres du sexe sous-représenté pour les administrateurs non exécutifs, </w:t>
                                                      </w:r>
                                                      <w:proofErr w:type="gramStart"/>
                                                      <w:r>
                                                        <w:rPr>
                                                          <w:rFonts w:ascii="Arial" w:hAnsi="Arial" w:cs="Arial"/>
                                                          <w:color w:val="3B3838"/>
                                                          <w:sz w:val="21"/>
                                                          <w:szCs w:val="21"/>
                                                        </w:rPr>
                                                        <w:t>soit  de</w:t>
                                                      </w:r>
                                                      <w:proofErr w:type="gramEnd"/>
                                                      <w:r>
                                                        <w:rPr>
                                                          <w:rFonts w:ascii="Arial" w:hAnsi="Arial" w:cs="Arial"/>
                                                          <w:color w:val="3B3838"/>
                                                          <w:sz w:val="21"/>
                                                          <w:szCs w:val="21"/>
                                                        </w:rPr>
                                                        <w:t xml:space="preserve"> 33 % pour tous les membres de leur conseil d’administration En cas de non-respect de ces objectifs, une entreprise serait tenue de procéder à des nominations ou à des élections d'administrateurs en appliquant des critères clairs, univoques et formulés en termes neutres.</w:t>
                                                      </w:r>
                                                    </w:p>
                                                    <w:p w:rsidR="0019398E" w:rsidRDefault="0019398E">
                                                      <w:pPr>
                                                        <w:shd w:val="clear" w:color="auto" w:fill="FFFFFF"/>
                                                        <w:spacing w:after="100" w:afterAutospacing="1"/>
                                                        <w:jc w:val="both"/>
                                                        <w:rPr>
                                                          <w:rFonts w:ascii="Arial" w:hAnsi="Arial" w:cs="Arial"/>
                                                          <w:color w:val="3B3838"/>
                                                          <w:sz w:val="21"/>
                                                          <w:szCs w:val="21"/>
                                                        </w:rPr>
                                                      </w:pPr>
                                                      <w:r>
                                                        <w:rPr>
                                                          <w:rFonts w:ascii="Arial" w:hAnsi="Arial" w:cs="Arial"/>
                                                          <w:color w:val="3B3838"/>
                                                          <w:sz w:val="21"/>
                                                          <w:szCs w:val="21"/>
                                                        </w:rPr>
                                                        <w:t>Les États membres devront également veiller à ce que, lorsqu'elles choisissent entre des candidats possédant des qualifications égales quant à leur aptitude, à leurs compétences et à leurs prestations professionnelles, les sociétés accordent la priorité au candidat du sexe sous-représenté.</w:t>
                                                      </w:r>
                                                      <w:r>
                                                        <w:rPr>
                                                          <w:rFonts w:ascii="Arial" w:hAnsi="Arial" w:cs="Arial"/>
                                                          <w:b/>
                                                          <w:bCs/>
                                                          <w:color w:val="3B3838"/>
                                                          <w:sz w:val="21"/>
                                                          <w:szCs w:val="21"/>
                                                        </w:rPr>
                                                        <w:t> </w:t>
                                                      </w:r>
                                                    </w:p>
                                                    <w:p w:rsidR="0019398E" w:rsidRDefault="0019398E">
                                                      <w:pPr>
                                                        <w:shd w:val="clear" w:color="auto" w:fill="FFFFFF"/>
                                                        <w:spacing w:before="100" w:beforeAutospacing="1" w:after="100" w:afterAutospacing="1"/>
                                                        <w:jc w:val="both"/>
                                                        <w:rPr>
                                                          <w:rFonts w:ascii="Arial" w:hAnsi="Arial" w:cs="Arial"/>
                                                          <w:b/>
                                                          <w:bCs/>
                                                          <w:color w:val="3B3838"/>
                                                          <w:sz w:val="21"/>
                                                          <w:szCs w:val="21"/>
                                                        </w:rPr>
                                                      </w:pPr>
                                                      <w:r>
                                                        <w:rPr>
                                                          <w:rFonts w:ascii="Arial" w:hAnsi="Arial" w:cs="Arial"/>
                                                          <w:b/>
                                                          <w:bCs/>
                                                          <w:color w:val="3B3838"/>
                                                          <w:sz w:val="21"/>
                                                          <w:szCs w:val="21"/>
                                                        </w:rPr>
                                                        <w:t>Ajustements nationaux éventuels</w:t>
                                                      </w:r>
                                                    </w:p>
                                                    <w:p w:rsidR="0019398E" w:rsidRDefault="0019398E">
                                                      <w:pPr>
                                                        <w:shd w:val="clear" w:color="auto" w:fill="FFFFFF"/>
                                                        <w:spacing w:after="100" w:afterAutospacing="1"/>
                                                        <w:jc w:val="both"/>
                                                        <w:rPr>
                                                          <w:rFonts w:ascii="Arial" w:hAnsi="Arial" w:cs="Arial"/>
                                                          <w:color w:val="3B3838"/>
                                                          <w:sz w:val="21"/>
                                                          <w:szCs w:val="21"/>
                                                        </w:rPr>
                                                      </w:pPr>
                                                      <w:r>
                                                        <w:rPr>
                                                          <w:rFonts w:ascii="Arial" w:hAnsi="Arial" w:cs="Arial"/>
                                                          <w:color w:val="3B3838"/>
                                                          <w:sz w:val="21"/>
                                                          <w:szCs w:val="21"/>
                                                        </w:rPr>
                                                        <w:t>Les pays qui ont mis en place des mesures, telles que des objectifs nationaux pour parvenir à une représentation plus équilibrée des femmes et des hommes peuvent suspendre les exigences prévues par la directive en matière de nomination ou d'élection. Il en va de même s'ils ont déjà accompli des progrès leur permettant de se rapprocher des objectifs fixés dans la directive. Dans sa position, le Conseil a également précisé qu'il appartenait à chaque État membre (plutôt qu'aux entreprises) de choisir entre les deux objectifs proposés, à savoir 40 % pour les administrateurs non exécutifs ou 33 % pour tous les membres du conseil d'administration.</w:t>
                                                      </w:r>
                                                    </w:p>
                                                    <w:p w:rsidR="0019398E" w:rsidRDefault="0019398E">
                                                      <w:pPr>
                                                        <w:shd w:val="clear" w:color="auto" w:fill="FFFFFF"/>
                                                        <w:spacing w:before="100" w:beforeAutospacing="1" w:after="100" w:afterAutospacing="1"/>
                                                        <w:jc w:val="both"/>
                                                        <w:rPr>
                                                          <w:rFonts w:ascii="Arial" w:hAnsi="Arial" w:cs="Arial"/>
                                                          <w:b/>
                                                          <w:bCs/>
                                                          <w:color w:val="3B3838"/>
                                                          <w:sz w:val="21"/>
                                                          <w:szCs w:val="21"/>
                                                        </w:rPr>
                                                      </w:pPr>
                                                      <w:r>
                                                        <w:rPr>
                                                          <w:rFonts w:ascii="Arial" w:hAnsi="Arial" w:cs="Arial"/>
                                                          <w:b/>
                                                          <w:bCs/>
                                                          <w:color w:val="3B3838"/>
                                                          <w:sz w:val="21"/>
                                                          <w:szCs w:val="21"/>
                                                        </w:rPr>
                                                        <w:t>Des progrès ont été réalisés mais le déséquilibre persiste</w:t>
                                                      </w:r>
                                                    </w:p>
                                                    <w:p w:rsidR="0019398E" w:rsidRDefault="0019398E">
                                                      <w:pPr>
                                                        <w:shd w:val="clear" w:color="auto" w:fill="FFFFFF"/>
                                                        <w:spacing w:after="100" w:afterAutospacing="1"/>
                                                        <w:jc w:val="both"/>
                                                        <w:rPr>
                                                          <w:rFonts w:ascii="Arial" w:hAnsi="Arial" w:cs="Arial"/>
                                                          <w:color w:val="3B3838"/>
                                                          <w:sz w:val="21"/>
                                                          <w:szCs w:val="21"/>
                                                        </w:rPr>
                                                      </w:pPr>
                                                      <w:r>
                                                        <w:rPr>
                                                          <w:rFonts w:ascii="Arial" w:hAnsi="Arial" w:cs="Arial"/>
                                                          <w:color w:val="3B3838"/>
                                                          <w:sz w:val="21"/>
                                                          <w:szCs w:val="21"/>
                                                        </w:rPr>
                                                        <w:t>Si des progrès ont été accomplis sur la voie d'une plus grande égalité entre les hommes et les femmes dans les conseils d'administration, ils restent inégaux. En octobre 2021, seuls 30,6 % des membres des conseils d'administration et à peine 8,5 % des présidents des conseils étaient des femmes dans l’Union européenne. L’écart entre les Etats membres est important. Ceux dans lesquels des mesures ont été mises en place progressent beaucoup plus vite que ceux dans lesquels il n’en existe pas.</w:t>
                                                      </w:r>
                                                    </w:p>
                                                    <w:p w:rsidR="0019398E" w:rsidRDefault="0019398E">
                                                      <w:pPr>
                                                        <w:shd w:val="clear" w:color="auto" w:fill="FFFFFF"/>
                                                        <w:spacing w:before="100" w:beforeAutospacing="1" w:after="100" w:afterAutospacing="1"/>
                                                        <w:jc w:val="both"/>
                                                        <w:rPr>
                                                          <w:rFonts w:ascii="Arial" w:hAnsi="Arial" w:cs="Arial"/>
                                                          <w:b/>
                                                          <w:bCs/>
                                                          <w:color w:val="3B3838"/>
                                                          <w:sz w:val="21"/>
                                                          <w:szCs w:val="21"/>
                                                        </w:rPr>
                                                      </w:pPr>
                                                      <w:r>
                                                        <w:rPr>
                                                          <w:rFonts w:ascii="Arial" w:hAnsi="Arial" w:cs="Arial"/>
                                                          <w:b/>
                                                          <w:bCs/>
                                                          <w:color w:val="3B3838"/>
                                                          <w:sz w:val="21"/>
                                                          <w:szCs w:val="21"/>
                                                        </w:rPr>
                                                        <w:t>Effets positifs sur le marché du travail</w:t>
                                                      </w:r>
                                                    </w:p>
                                                    <w:p w:rsidR="0019398E" w:rsidRDefault="0019398E">
                                                      <w:pPr>
                                                        <w:shd w:val="clear" w:color="auto" w:fill="FFFFFF"/>
                                                        <w:spacing w:after="100" w:afterAutospacing="1"/>
                                                        <w:jc w:val="both"/>
                                                        <w:rPr>
                                                          <w:rFonts w:ascii="Arial" w:hAnsi="Arial" w:cs="Arial"/>
                                                          <w:color w:val="3B3838"/>
                                                          <w:sz w:val="21"/>
                                                          <w:szCs w:val="21"/>
                                                        </w:rPr>
                                                      </w:pPr>
                                                      <w:r>
                                                        <w:rPr>
                                                          <w:rFonts w:ascii="Arial" w:hAnsi="Arial" w:cs="Arial"/>
                                                          <w:color w:val="3B3838"/>
                                                          <w:sz w:val="21"/>
                                                          <w:szCs w:val="21"/>
                                                        </w:rPr>
                                                        <w:t>Une proportion plus élevée de femmes aux fonctions de décision économique devrait avoir des retombées positives dans toute l'économie. En outre, les femmes représentent environ 60 % des nouveaux diplômés universitaires dans l'UE. Ainsi, un meilleur équilibre entre les hommes et les femmes dans les conseils d'administration des entreprises permettrait également de tirer un meilleur parti du grand nombre de femmes hautement qualifiées que compte l'Europe. </w:t>
                                                      </w:r>
                                                    </w:p>
                                                    <w:p w:rsidR="0019398E" w:rsidRDefault="0019398E">
                                                      <w:pPr>
                                                        <w:shd w:val="clear" w:color="auto" w:fill="FFFFFF"/>
                                                        <w:spacing w:before="100" w:beforeAutospacing="1" w:after="100" w:afterAutospacing="1"/>
                                                        <w:jc w:val="both"/>
                                                        <w:rPr>
                                                          <w:rFonts w:ascii="Arial" w:hAnsi="Arial" w:cs="Arial"/>
                                                          <w:b/>
                                                          <w:bCs/>
                                                          <w:color w:val="3B3838"/>
                                                          <w:sz w:val="21"/>
                                                          <w:szCs w:val="21"/>
                                                        </w:rPr>
                                                      </w:pPr>
                                                      <w:r>
                                                        <w:rPr>
                                                          <w:rFonts w:ascii="Arial" w:hAnsi="Arial" w:cs="Arial"/>
                                                          <w:b/>
                                                          <w:bCs/>
                                                          <w:color w:val="3B3838"/>
                                                          <w:sz w:val="21"/>
                                                          <w:szCs w:val="21"/>
                                                        </w:rPr>
                                                        <w:t>Prochaines étapes</w:t>
                                                      </w:r>
                                                    </w:p>
                                                    <w:p w:rsidR="0019398E" w:rsidRDefault="0019398E">
                                                      <w:pPr>
                                                        <w:shd w:val="clear" w:color="auto" w:fill="FFFFFF"/>
                                                        <w:spacing w:after="100" w:afterAutospacing="1"/>
                                                        <w:jc w:val="both"/>
                                                        <w:rPr>
                                                          <w:rFonts w:ascii="Arial" w:hAnsi="Arial" w:cs="Arial"/>
                                                          <w:color w:val="3B3838"/>
                                                          <w:sz w:val="21"/>
                                                          <w:szCs w:val="21"/>
                                                        </w:rPr>
                                                      </w:pPr>
                                                      <w:r>
                                                        <w:rPr>
                                                          <w:rFonts w:ascii="Arial" w:hAnsi="Arial" w:cs="Arial"/>
                                                          <w:color w:val="3B3838"/>
                                                          <w:sz w:val="21"/>
                                                          <w:szCs w:val="21"/>
                                                        </w:rPr>
                                                        <w:t>L'accord intervenu aujourd'hui entre les États membres ouvre la voie aux négociations entre le Conseil et le Parlement européen en vue de parvenir à une position commune.</w:t>
                                                      </w:r>
                                                    </w:p>
                                                  </w:tc>
                                                </w:tr>
                                              </w:tbl>
                                              <w:p w:rsidR="0019398E" w:rsidRDefault="0019398E">
                                                <w:pPr>
                                                  <w:rPr>
                                                    <w:rFonts w:eastAsia="Times New Roman"/>
                                                    <w:sz w:val="20"/>
                                                    <w:szCs w:val="20"/>
                                                  </w:rPr>
                                                </w:pPr>
                                              </w:p>
                                            </w:tc>
                                          </w:tr>
                                        </w:tbl>
                                        <w:p w:rsidR="0019398E" w:rsidRDefault="0019398E">
                                          <w:pPr>
                                            <w:rPr>
                                              <w:rFonts w:eastAsia="Times New Roman"/>
                                              <w:sz w:val="20"/>
                                              <w:szCs w:val="20"/>
                                            </w:rPr>
                                          </w:pPr>
                                        </w:p>
                                      </w:tc>
                                    </w:tr>
                                  </w:tbl>
                                  <w:p w:rsidR="0019398E" w:rsidRDefault="0019398E">
                                    <w:pPr>
                                      <w:jc w:val="center"/>
                                      <w:rPr>
                                        <w:rFonts w:eastAsia="Times New Roman"/>
                                        <w:sz w:val="20"/>
                                        <w:szCs w:val="20"/>
                                      </w:rPr>
                                    </w:pPr>
                                  </w:p>
                                </w:tc>
                              </w:tr>
                            </w:tbl>
                            <w:p w:rsidR="0019398E" w:rsidRDefault="0019398E">
                              <w:pPr>
                                <w:jc w:val="center"/>
                                <w:rPr>
                                  <w:rFonts w:eastAsia="Times New Roman"/>
                                  <w:sz w:val="20"/>
                                  <w:szCs w:val="20"/>
                                </w:rPr>
                              </w:pPr>
                            </w:p>
                          </w:tc>
                          <w:tc>
                            <w:tcPr>
                              <w:tcW w:w="150" w:type="dxa"/>
                              <w:shd w:val="clear" w:color="auto" w:fill="FFFFFF"/>
                              <w:vAlign w:val="center"/>
                              <w:hideMark/>
                            </w:tcPr>
                            <w:p w:rsidR="0019398E" w:rsidRDefault="0019398E">
                              <w:pPr>
                                <w:rPr>
                                  <w:rFonts w:eastAsia="Times New Roman"/>
                                  <w:sz w:val="20"/>
                                  <w:szCs w:val="20"/>
                                </w:rPr>
                              </w:pPr>
                            </w:p>
                          </w:tc>
                        </w:tr>
                      </w:tbl>
                      <w:p w:rsidR="0019398E" w:rsidRDefault="0019398E">
                        <w:pPr>
                          <w:rPr>
                            <w:rFonts w:eastAsia="Times New Roman"/>
                            <w:sz w:val="20"/>
                            <w:szCs w:val="20"/>
                          </w:rPr>
                        </w:pPr>
                      </w:p>
                    </w:tc>
                  </w:tr>
                </w:tbl>
                <w:p w:rsidR="0019398E" w:rsidRDefault="0019398E"/>
                <w:tbl>
                  <w:tblPr>
                    <w:tblW w:w="5000" w:type="pct"/>
                    <w:tblCellMar>
                      <w:left w:w="0" w:type="dxa"/>
                      <w:right w:w="0" w:type="dxa"/>
                    </w:tblCellMar>
                    <w:tblLook w:val="04A0" w:firstRow="1" w:lastRow="0" w:firstColumn="1" w:lastColumn="0" w:noHBand="0" w:noVBand="1"/>
                  </w:tblPr>
                  <w:tblGrid>
                    <w:gridCol w:w="9072"/>
                  </w:tblGrid>
                  <w:tr w:rsidR="0019398E">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19398E">
                          <w:tc>
                            <w:tcPr>
                              <w:tcW w:w="150" w:type="dxa"/>
                              <w:shd w:val="clear" w:color="auto" w:fill="FFFFFF"/>
                              <w:vAlign w:val="center"/>
                              <w:hideMark/>
                            </w:tcPr>
                            <w:p w:rsidR="0019398E" w:rsidRDefault="0019398E"/>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19398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19398E">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1939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19398E">
                                                  <w:tc>
                                                    <w:tcPr>
                                                      <w:tcW w:w="0" w:type="auto"/>
                                                      <w:vAlign w:val="center"/>
                                                      <w:hideMark/>
                                                    </w:tcPr>
                                                    <w:p w:rsidR="0019398E" w:rsidRDefault="0019398E">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19398E" w:rsidRDefault="0019398E">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19398E" w:rsidRDefault="0019398E">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19398E" w:rsidRDefault="0019398E">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19398E" w:rsidRDefault="0019398E">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7" w:history="1">
                                                        <w:r>
                                                          <w:rPr>
                                                            <w:rStyle w:val="Lienhypertexte"/>
                                                            <w:rFonts w:ascii="Arial" w:hAnsi="Arial" w:cs="Arial"/>
                                                            <w:sz w:val="18"/>
                                                            <w:szCs w:val="18"/>
                                                          </w:rPr>
                                                          <w:t>sec.presse.travail@cab.travail.gouv.fr</w:t>
                                                        </w:r>
                                                      </w:hyperlink>
                                                    </w:p>
                                                  </w:tc>
                                                </w:tr>
                                              </w:tbl>
                                              <w:p w:rsidR="0019398E" w:rsidRDefault="0019398E">
                                                <w:pPr>
                                                  <w:rPr>
                                                    <w:rFonts w:eastAsia="Times New Roman"/>
                                                    <w:sz w:val="20"/>
                                                    <w:szCs w:val="20"/>
                                                  </w:rPr>
                                                </w:pPr>
                                              </w:p>
                                            </w:tc>
                                          </w:tr>
                                        </w:tbl>
                                        <w:p w:rsidR="0019398E" w:rsidRDefault="0019398E">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19398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19398E">
                                                  <w:trPr>
                                                    <w:trHeight w:val="960"/>
                                                    <w:jc w:val="center"/>
                                                  </w:trPr>
                                                  <w:tc>
                                                    <w:tcPr>
                                                      <w:tcW w:w="0" w:type="auto"/>
                                                      <w:vAlign w:val="center"/>
                                                      <w:hideMark/>
                                                    </w:tcPr>
                                                    <w:p w:rsidR="0019398E" w:rsidRDefault="0019398E">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19398E">
                                                  <w:tc>
                                                    <w:tcPr>
                                                      <w:tcW w:w="0" w:type="auto"/>
                                                      <w:vAlign w:val="center"/>
                                                      <w:hideMark/>
                                                    </w:tcPr>
                                                    <w:p w:rsidR="0019398E" w:rsidRDefault="0019398E">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19398E" w:rsidRDefault="0019398E">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19398E" w:rsidRDefault="0019398E">
                                                <w:pPr>
                                                  <w:rPr>
                                                    <w:rFonts w:eastAsia="Times New Roman"/>
                                                    <w:sz w:val="20"/>
                                                    <w:szCs w:val="20"/>
                                                  </w:rPr>
                                                </w:pPr>
                                              </w:p>
                                            </w:tc>
                                          </w:tr>
                                        </w:tbl>
                                        <w:p w:rsidR="0019398E" w:rsidRDefault="0019398E">
                                          <w:pPr>
                                            <w:rPr>
                                              <w:rFonts w:eastAsia="Times New Roman"/>
                                              <w:sz w:val="20"/>
                                              <w:szCs w:val="20"/>
                                            </w:rPr>
                                          </w:pPr>
                                        </w:p>
                                      </w:tc>
                                    </w:tr>
                                  </w:tbl>
                                  <w:p w:rsidR="0019398E" w:rsidRDefault="0019398E">
                                    <w:pPr>
                                      <w:jc w:val="center"/>
                                      <w:rPr>
                                        <w:rFonts w:eastAsia="Times New Roman"/>
                                        <w:sz w:val="20"/>
                                        <w:szCs w:val="20"/>
                                      </w:rPr>
                                    </w:pPr>
                                  </w:p>
                                </w:tc>
                              </w:tr>
                            </w:tbl>
                            <w:p w:rsidR="0019398E" w:rsidRDefault="0019398E">
                              <w:pPr>
                                <w:jc w:val="center"/>
                                <w:rPr>
                                  <w:rFonts w:eastAsia="Times New Roman"/>
                                  <w:sz w:val="20"/>
                                  <w:szCs w:val="20"/>
                                </w:rPr>
                              </w:pPr>
                            </w:p>
                          </w:tc>
                          <w:tc>
                            <w:tcPr>
                              <w:tcW w:w="150" w:type="dxa"/>
                              <w:shd w:val="clear" w:color="auto" w:fill="FFFFFF"/>
                              <w:vAlign w:val="center"/>
                              <w:hideMark/>
                            </w:tcPr>
                            <w:p w:rsidR="0019398E" w:rsidRDefault="0019398E">
                              <w:pPr>
                                <w:rPr>
                                  <w:rFonts w:eastAsia="Times New Roman"/>
                                  <w:sz w:val="20"/>
                                  <w:szCs w:val="20"/>
                                </w:rPr>
                              </w:pPr>
                            </w:p>
                          </w:tc>
                        </w:tr>
                      </w:tbl>
                      <w:p w:rsidR="0019398E" w:rsidRDefault="0019398E">
                        <w:pPr>
                          <w:rPr>
                            <w:rFonts w:eastAsia="Times New Roman"/>
                            <w:sz w:val="20"/>
                            <w:szCs w:val="20"/>
                          </w:rPr>
                        </w:pPr>
                      </w:p>
                    </w:tc>
                  </w:tr>
                  <w:tr w:rsidR="0019398E">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19398E">
                          <w:tc>
                            <w:tcPr>
                              <w:tcW w:w="150" w:type="dxa"/>
                              <w:shd w:val="clear" w:color="auto" w:fill="FFFFFF"/>
                              <w:vAlign w:val="center"/>
                              <w:hideMark/>
                            </w:tcPr>
                            <w:p w:rsidR="0019398E" w:rsidRDefault="0019398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19398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19398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19398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9398E">
                                                  <w:tc>
                                                    <w:tcPr>
                                                      <w:tcW w:w="0" w:type="auto"/>
                                                      <w:vAlign w:val="center"/>
                                                      <w:hideMark/>
                                                    </w:tcPr>
                                                    <w:p w:rsidR="0019398E" w:rsidRDefault="0019398E">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19398E" w:rsidRDefault="0019398E">
                                                <w:pPr>
                                                  <w:rPr>
                                                    <w:rFonts w:eastAsia="Times New Roman"/>
                                                    <w:sz w:val="20"/>
                                                    <w:szCs w:val="20"/>
                                                  </w:rPr>
                                                </w:pPr>
                                              </w:p>
                                            </w:tc>
                                          </w:tr>
                                        </w:tbl>
                                        <w:p w:rsidR="0019398E" w:rsidRDefault="0019398E">
                                          <w:pPr>
                                            <w:rPr>
                                              <w:rFonts w:eastAsia="Times New Roman"/>
                                              <w:sz w:val="20"/>
                                              <w:szCs w:val="20"/>
                                            </w:rPr>
                                          </w:pPr>
                                        </w:p>
                                      </w:tc>
                                    </w:tr>
                                  </w:tbl>
                                  <w:p w:rsidR="0019398E" w:rsidRDefault="0019398E">
                                    <w:pPr>
                                      <w:jc w:val="center"/>
                                      <w:rPr>
                                        <w:rFonts w:eastAsia="Times New Roman"/>
                                        <w:sz w:val="20"/>
                                        <w:szCs w:val="20"/>
                                      </w:rPr>
                                    </w:pPr>
                                  </w:p>
                                </w:tc>
                              </w:tr>
                            </w:tbl>
                            <w:p w:rsidR="0019398E" w:rsidRDefault="0019398E">
                              <w:pPr>
                                <w:jc w:val="center"/>
                                <w:rPr>
                                  <w:rFonts w:eastAsia="Times New Roman"/>
                                  <w:sz w:val="20"/>
                                  <w:szCs w:val="20"/>
                                </w:rPr>
                              </w:pPr>
                            </w:p>
                          </w:tc>
                          <w:tc>
                            <w:tcPr>
                              <w:tcW w:w="150" w:type="dxa"/>
                              <w:shd w:val="clear" w:color="auto" w:fill="FFFFFF"/>
                              <w:vAlign w:val="center"/>
                              <w:hideMark/>
                            </w:tcPr>
                            <w:p w:rsidR="0019398E" w:rsidRDefault="0019398E">
                              <w:pPr>
                                <w:rPr>
                                  <w:rFonts w:eastAsia="Times New Roman"/>
                                  <w:sz w:val="20"/>
                                  <w:szCs w:val="20"/>
                                </w:rPr>
                              </w:pPr>
                            </w:p>
                          </w:tc>
                        </w:tr>
                      </w:tbl>
                      <w:p w:rsidR="0019398E" w:rsidRDefault="0019398E">
                        <w:pPr>
                          <w:rPr>
                            <w:vanish/>
                          </w:rPr>
                        </w:pPr>
                      </w:p>
                      <w:tbl>
                        <w:tblPr>
                          <w:tblW w:w="5000" w:type="pct"/>
                          <w:tblCellMar>
                            <w:left w:w="0" w:type="dxa"/>
                            <w:right w:w="0" w:type="dxa"/>
                          </w:tblCellMar>
                          <w:tblLook w:val="04A0" w:firstRow="1" w:lastRow="0" w:firstColumn="1" w:lastColumn="0" w:noHBand="0" w:noVBand="1"/>
                        </w:tblPr>
                        <w:tblGrid>
                          <w:gridCol w:w="9072"/>
                        </w:tblGrid>
                        <w:tr w:rsidR="0019398E">
                          <w:trPr>
                            <w:trHeight w:val="150"/>
                          </w:trPr>
                          <w:tc>
                            <w:tcPr>
                              <w:tcW w:w="9750" w:type="dxa"/>
                              <w:shd w:val="clear" w:color="auto" w:fill="FFFFFF"/>
                              <w:tcMar>
                                <w:top w:w="0" w:type="dxa"/>
                                <w:left w:w="150" w:type="dxa"/>
                                <w:bottom w:w="0" w:type="dxa"/>
                                <w:right w:w="150" w:type="dxa"/>
                              </w:tcMar>
                              <w:vAlign w:val="center"/>
                              <w:hideMark/>
                            </w:tcPr>
                            <w:p w:rsidR="0019398E" w:rsidRDefault="0019398E">
                              <w:pPr>
                                <w:spacing w:line="150" w:lineRule="exact"/>
                                <w:rPr>
                                  <w:sz w:val="15"/>
                                  <w:szCs w:val="15"/>
                                </w:rPr>
                              </w:pPr>
                              <w:r>
                                <w:rPr>
                                  <w:sz w:val="15"/>
                                  <w:szCs w:val="15"/>
                                </w:rPr>
                                <w:t xml:space="preserve">  </w:t>
                              </w:r>
                            </w:p>
                          </w:tc>
                        </w:tr>
                      </w:tbl>
                      <w:p w:rsidR="0019398E" w:rsidRDefault="0019398E">
                        <w:pPr>
                          <w:rPr>
                            <w:sz w:val="20"/>
                            <w:szCs w:val="20"/>
                          </w:rPr>
                        </w:pPr>
                      </w:p>
                    </w:tc>
                  </w:tr>
                </w:tbl>
                <w:p w:rsidR="0019398E" w:rsidRDefault="0019398E"/>
                <w:tbl>
                  <w:tblPr>
                    <w:tblW w:w="5000" w:type="pct"/>
                    <w:shd w:val="clear" w:color="auto" w:fill="FFFFFF"/>
                    <w:tblCellMar>
                      <w:left w:w="0" w:type="dxa"/>
                      <w:right w:w="0" w:type="dxa"/>
                    </w:tblCellMar>
                    <w:tblLook w:val="04A0" w:firstRow="1" w:lastRow="0" w:firstColumn="1" w:lastColumn="0" w:noHBand="0" w:noVBand="1"/>
                  </w:tblPr>
                  <w:tblGrid>
                    <w:gridCol w:w="9072"/>
                  </w:tblGrid>
                  <w:tr w:rsidR="0019398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9398E">
                          <w:tc>
                            <w:tcPr>
                              <w:tcW w:w="150" w:type="dxa"/>
                              <w:vAlign w:val="center"/>
                              <w:hideMark/>
                            </w:tcPr>
                            <w:p w:rsidR="0019398E" w:rsidRDefault="0019398E"/>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9398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9398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9398E">
                                            <w:tc>
                                              <w:tcPr>
                                                <w:tcW w:w="0" w:type="auto"/>
                                                <w:tcMar>
                                                  <w:top w:w="300" w:type="dxa"/>
                                                  <w:left w:w="300" w:type="dxa"/>
                                                  <w:bottom w:w="300" w:type="dxa"/>
                                                  <w:right w:w="300" w:type="dxa"/>
                                                </w:tcMar>
                                                <w:vAlign w:val="center"/>
                                                <w:hideMark/>
                                              </w:tcPr>
                                              <w:p w:rsidR="0019398E" w:rsidRDefault="0019398E">
                                                <w:pPr>
                                                  <w:rPr>
                                                    <w:rFonts w:eastAsia="Times New Roman"/>
                                                    <w:sz w:val="20"/>
                                                    <w:szCs w:val="20"/>
                                                  </w:rPr>
                                                </w:pPr>
                                              </w:p>
                                            </w:tc>
                                          </w:tr>
                                        </w:tbl>
                                        <w:p w:rsidR="0019398E" w:rsidRDefault="0019398E">
                                          <w:pPr>
                                            <w:rPr>
                                              <w:rFonts w:eastAsia="Times New Roman"/>
                                              <w:sz w:val="20"/>
                                              <w:szCs w:val="20"/>
                                            </w:rPr>
                                          </w:pPr>
                                        </w:p>
                                      </w:tc>
                                    </w:tr>
                                  </w:tbl>
                                  <w:p w:rsidR="0019398E" w:rsidRDefault="0019398E">
                                    <w:pPr>
                                      <w:jc w:val="center"/>
                                      <w:rPr>
                                        <w:rFonts w:eastAsia="Times New Roman"/>
                                        <w:sz w:val="20"/>
                                        <w:szCs w:val="20"/>
                                      </w:rPr>
                                    </w:pPr>
                                  </w:p>
                                </w:tc>
                              </w:tr>
                            </w:tbl>
                            <w:p w:rsidR="0019398E" w:rsidRDefault="0019398E">
                              <w:pPr>
                                <w:jc w:val="center"/>
                                <w:rPr>
                                  <w:rFonts w:eastAsia="Times New Roman"/>
                                  <w:sz w:val="20"/>
                                  <w:szCs w:val="20"/>
                                </w:rPr>
                              </w:pPr>
                            </w:p>
                          </w:tc>
                          <w:tc>
                            <w:tcPr>
                              <w:tcW w:w="150" w:type="dxa"/>
                              <w:vAlign w:val="center"/>
                              <w:hideMark/>
                            </w:tcPr>
                            <w:p w:rsidR="0019398E" w:rsidRDefault="0019398E">
                              <w:pPr>
                                <w:rPr>
                                  <w:rFonts w:eastAsia="Times New Roman"/>
                                  <w:sz w:val="20"/>
                                  <w:szCs w:val="20"/>
                                </w:rPr>
                              </w:pPr>
                            </w:p>
                          </w:tc>
                        </w:tr>
                      </w:tbl>
                      <w:p w:rsidR="0019398E" w:rsidRDefault="0019398E">
                        <w:pPr>
                          <w:rPr>
                            <w:rFonts w:eastAsia="Times New Roman"/>
                            <w:sz w:val="20"/>
                            <w:szCs w:val="20"/>
                          </w:rPr>
                        </w:pPr>
                      </w:p>
                    </w:tc>
                  </w:tr>
                </w:tbl>
                <w:p w:rsidR="0019398E" w:rsidRDefault="0019398E">
                  <w:pPr>
                    <w:rPr>
                      <w:sz w:val="20"/>
                      <w:szCs w:val="20"/>
                    </w:rPr>
                  </w:pPr>
                </w:p>
              </w:tc>
            </w:tr>
          </w:tbl>
          <w:p w:rsidR="0019398E" w:rsidRDefault="0019398E">
            <w:pPr>
              <w:jc w:val="center"/>
              <w:rPr>
                <w:rFonts w:eastAsia="Times New Roman"/>
                <w:sz w:val="20"/>
                <w:szCs w:val="20"/>
              </w:rPr>
            </w:pPr>
          </w:p>
        </w:tc>
      </w:tr>
    </w:tbl>
    <w:p w:rsidR="00A30FF5" w:rsidRDefault="00A30FF5"/>
    <w:sectPr w:rsidR="00A30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8E"/>
    <w:rsid w:val="0019398E"/>
    <w:rsid w:val="00A30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C3379-E7AE-4DB9-A4F9-48743602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8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398E"/>
    <w:rPr>
      <w:color w:val="0000FF"/>
      <w:u w:val="single"/>
    </w:rPr>
  </w:style>
  <w:style w:type="paragraph" w:styleId="NormalWeb">
    <w:name w:val="Normal (Web)"/>
    <w:basedOn w:val="Normal"/>
    <w:uiPriority w:val="99"/>
    <w:semiHidden/>
    <w:unhideWhenUsed/>
    <w:rsid w:val="0019398E"/>
    <w:pPr>
      <w:spacing w:before="100" w:beforeAutospacing="1" w:after="100" w:afterAutospacing="1"/>
    </w:pPr>
  </w:style>
  <w:style w:type="character" w:styleId="lev">
    <w:name w:val="Strong"/>
    <w:basedOn w:val="Policepardfaut"/>
    <w:uiPriority w:val="22"/>
    <w:qFormat/>
    <w:rsid w:val="00193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c.presse.travail@cab.travai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379F.6F33246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3885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2022-03-14T11:53:00Z</dcterms:created>
  <dcterms:modified xsi:type="dcterms:W3CDTF">2022-03-14T11:54:00Z</dcterms:modified>
</cp:coreProperties>
</file>