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72"/>
      </w:tblGrid>
      <w:tr w:rsidR="00671693" w:rsidTr="00671693">
        <w:tc>
          <w:tcPr>
            <w:tcW w:w="0" w:type="auto"/>
            <w:vAlign w:val="center"/>
          </w:tcPr>
          <w:tbl>
            <w:tblPr>
              <w:tblW w:w="5000" w:type="pct"/>
              <w:tblCellMar>
                <w:left w:w="0" w:type="dxa"/>
                <w:right w:w="0" w:type="dxa"/>
              </w:tblCellMar>
              <w:tblLook w:val="04A0" w:firstRow="1" w:lastRow="0" w:firstColumn="1" w:lastColumn="0" w:noHBand="0" w:noVBand="1"/>
            </w:tblPr>
            <w:tblGrid>
              <w:gridCol w:w="9072"/>
            </w:tblGrid>
            <w:tr w:rsidR="00671693">
              <w:trPr>
                <w:trHeight w:val="150"/>
              </w:trPr>
              <w:tc>
                <w:tcPr>
                  <w:tcW w:w="9750" w:type="dxa"/>
                  <w:shd w:val="clear" w:color="auto" w:fill="FFFFFF"/>
                  <w:tcMar>
                    <w:top w:w="0" w:type="dxa"/>
                    <w:left w:w="150" w:type="dxa"/>
                    <w:bottom w:w="0" w:type="dxa"/>
                    <w:right w:w="150" w:type="dxa"/>
                  </w:tcMar>
                  <w:vAlign w:val="center"/>
                  <w:hideMark/>
                </w:tcPr>
                <w:p w:rsidR="00671693" w:rsidRDefault="00671693">
                  <w:pPr>
                    <w:spacing w:line="150" w:lineRule="exact"/>
                    <w:rPr>
                      <w:sz w:val="15"/>
                      <w:szCs w:val="15"/>
                    </w:rPr>
                  </w:pPr>
                  <w:r>
                    <w:rPr>
                      <w:sz w:val="15"/>
                      <w:szCs w:val="15"/>
                    </w:rPr>
                    <w:t xml:space="preserve">  </w:t>
                  </w:r>
                </w:p>
              </w:tc>
            </w:tr>
          </w:tbl>
          <w:p w:rsidR="00671693" w:rsidRDefault="00671693">
            <w:pPr>
              <w:rPr>
                <w:vanish/>
              </w:rPr>
            </w:pPr>
          </w:p>
          <w:tbl>
            <w:tblPr>
              <w:tblW w:w="0" w:type="auto"/>
              <w:tblCellMar>
                <w:left w:w="0" w:type="dxa"/>
                <w:right w:w="0" w:type="dxa"/>
              </w:tblCellMar>
              <w:tblLook w:val="04A0" w:firstRow="1" w:lastRow="0" w:firstColumn="1" w:lastColumn="0" w:noHBand="0" w:noVBand="1"/>
            </w:tblPr>
            <w:tblGrid>
              <w:gridCol w:w="131"/>
              <w:gridCol w:w="8810"/>
              <w:gridCol w:w="131"/>
            </w:tblGrid>
            <w:tr w:rsidR="00671693">
              <w:trPr>
                <w:hidden/>
              </w:trPr>
              <w:tc>
                <w:tcPr>
                  <w:tcW w:w="150" w:type="dxa"/>
                  <w:shd w:val="clear" w:color="auto" w:fill="FFFFFF"/>
                  <w:vAlign w:val="center"/>
                  <w:hideMark/>
                </w:tcPr>
                <w:p w:rsidR="00671693" w:rsidRDefault="00671693">
                  <w:pPr>
                    <w:rPr>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67169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67169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671693">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10"/>
                                    </w:tblGrid>
                                    <w:tr w:rsidR="00671693">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671693">
                                            <w:tc>
                                              <w:tcPr>
                                                <w:tcW w:w="0" w:type="auto"/>
                                                <w:vAlign w:val="center"/>
                                                <w:hideMark/>
                                              </w:tcPr>
                                              <w:p w:rsidR="00671693" w:rsidRDefault="00671693">
                                                <w:pPr>
                                                  <w:spacing w:line="0" w:lineRule="atLeast"/>
                                                  <w:rPr>
                                                    <w:sz w:val="2"/>
                                                    <w:szCs w:val="2"/>
                                                  </w:rPr>
                                                </w:pPr>
                                                <w:r>
                                                  <w:rPr>
                                                    <w:noProof/>
                                                    <w:sz w:val="2"/>
                                                    <w:szCs w:val="2"/>
                                                  </w:rPr>
                                                  <w:drawing>
                                                    <wp:inline distT="0" distB="0" distL="0" distR="0">
                                                      <wp:extent cx="1714500" cy="1009650"/>
                                                      <wp:effectExtent l="0" t="0" r="0" b="0"/>
                                                      <wp:docPr id="1" name="Image 1" descr="http://img.sarbacane.com/5b23cd31b85b536066d9291a/templates/l_rXJujpTIK5vTC5lm4PmA/d16db6c1423f9c979f25a4037e23c1369a4c3d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l_rXJujpTIK5vTC5lm4PmA/d16db6c1423f9c979f25a4037e23c1369a4c3dcf.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inline>
                                                  </w:drawing>
                                                </w:r>
                                              </w:p>
                                            </w:tc>
                                          </w:tr>
                                        </w:tbl>
                                        <w:p w:rsidR="00671693" w:rsidRDefault="00671693">
                                          <w:pPr>
                                            <w:rPr>
                                              <w:rFonts w:eastAsia="Times New Roman"/>
                                              <w:sz w:val="20"/>
                                              <w:szCs w:val="20"/>
                                            </w:rPr>
                                          </w:pPr>
                                        </w:p>
                                      </w:tc>
                                    </w:tr>
                                  </w:tbl>
                                  <w:p w:rsidR="00671693" w:rsidRDefault="00671693">
                                    <w:pPr>
                                      <w:jc w:val="center"/>
                                      <w:rPr>
                                        <w:vanish/>
                                      </w:rPr>
                                    </w:pPr>
                                  </w:p>
                                  <w:tbl>
                                    <w:tblPr>
                                      <w:tblW w:w="0" w:type="auto"/>
                                      <w:jc w:val="center"/>
                                      <w:tblCellMar>
                                        <w:left w:w="0" w:type="dxa"/>
                                        <w:right w:w="0" w:type="dxa"/>
                                      </w:tblCellMar>
                                      <w:tblLook w:val="04A0" w:firstRow="1" w:lastRow="0" w:firstColumn="1" w:lastColumn="0" w:noHBand="0" w:noVBand="1"/>
                                    </w:tblPr>
                                    <w:tblGrid>
                                      <w:gridCol w:w="75"/>
                                    </w:tblGrid>
                                    <w:tr w:rsidR="00671693">
                                      <w:trPr>
                                        <w:trHeight w:val="300"/>
                                        <w:jc w:val="center"/>
                                      </w:trPr>
                                      <w:tc>
                                        <w:tcPr>
                                          <w:tcW w:w="0" w:type="auto"/>
                                          <w:vAlign w:val="center"/>
                                          <w:hideMark/>
                                        </w:tcPr>
                                        <w:p w:rsidR="00671693" w:rsidRDefault="00671693">
                                          <w:pPr>
                                            <w:spacing w:line="300" w:lineRule="exact"/>
                                            <w:rPr>
                                              <w:sz w:val="30"/>
                                              <w:szCs w:val="30"/>
                                            </w:rPr>
                                          </w:pPr>
                                          <w:r>
                                            <w:rPr>
                                              <w:sz w:val="30"/>
                                              <w:szCs w:val="30"/>
                                            </w:rPr>
                                            <w:t xml:space="preserve">  </w:t>
                                          </w:r>
                                        </w:p>
                                      </w:tc>
                                    </w:tr>
                                  </w:tbl>
                                  <w:p w:rsidR="00671693" w:rsidRDefault="00671693">
                                    <w:pPr>
                                      <w:jc w:val="center"/>
                                      <w:rPr>
                                        <w:sz w:val="20"/>
                                        <w:szCs w:val="20"/>
                                      </w:rPr>
                                    </w:pPr>
                                  </w:p>
                                </w:tc>
                              </w:tr>
                            </w:tbl>
                            <w:p w:rsidR="00671693" w:rsidRDefault="00671693">
                              <w:pPr>
                                <w:rPr>
                                  <w:rFonts w:eastAsia="Times New Roman"/>
                                  <w:sz w:val="20"/>
                                  <w:szCs w:val="20"/>
                                </w:rPr>
                              </w:pPr>
                            </w:p>
                          </w:tc>
                        </w:tr>
                      </w:tbl>
                      <w:p w:rsidR="00671693" w:rsidRDefault="00671693">
                        <w:pPr>
                          <w:jc w:val="center"/>
                          <w:rPr>
                            <w:rFonts w:eastAsia="Times New Roman"/>
                            <w:sz w:val="20"/>
                            <w:szCs w:val="20"/>
                          </w:rPr>
                        </w:pPr>
                      </w:p>
                    </w:tc>
                  </w:tr>
                </w:tbl>
                <w:p w:rsidR="00671693" w:rsidRDefault="00671693">
                  <w:pPr>
                    <w:jc w:val="center"/>
                    <w:rPr>
                      <w:rFonts w:eastAsia="Times New Roman"/>
                      <w:sz w:val="20"/>
                      <w:szCs w:val="20"/>
                    </w:rPr>
                  </w:pPr>
                </w:p>
              </w:tc>
              <w:tc>
                <w:tcPr>
                  <w:tcW w:w="150" w:type="dxa"/>
                  <w:shd w:val="clear" w:color="auto" w:fill="FFFFFF"/>
                  <w:vAlign w:val="center"/>
                  <w:hideMark/>
                </w:tcPr>
                <w:p w:rsidR="00671693" w:rsidRDefault="00671693">
                  <w:pPr>
                    <w:rPr>
                      <w:rFonts w:eastAsia="Times New Roman"/>
                      <w:sz w:val="20"/>
                      <w:szCs w:val="20"/>
                    </w:rPr>
                  </w:pPr>
                </w:p>
              </w:tc>
            </w:tr>
          </w:tbl>
          <w:p w:rsidR="00671693" w:rsidRDefault="00671693">
            <w:pPr>
              <w:rPr>
                <w:sz w:val="20"/>
                <w:szCs w:val="20"/>
              </w:rPr>
            </w:pPr>
          </w:p>
        </w:tc>
      </w:tr>
    </w:tbl>
    <w:p w:rsidR="00671693" w:rsidRDefault="00671693" w:rsidP="00671693"/>
    <w:tbl>
      <w:tblPr>
        <w:tblW w:w="5000" w:type="pct"/>
        <w:tblCellMar>
          <w:left w:w="0" w:type="dxa"/>
          <w:right w:w="0" w:type="dxa"/>
        </w:tblCellMar>
        <w:tblLook w:val="04A0" w:firstRow="1" w:lastRow="0" w:firstColumn="1" w:lastColumn="0" w:noHBand="0" w:noVBand="1"/>
      </w:tblPr>
      <w:tblGrid>
        <w:gridCol w:w="9072"/>
      </w:tblGrid>
      <w:tr w:rsidR="00671693" w:rsidTr="00671693">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671693">
              <w:tc>
                <w:tcPr>
                  <w:tcW w:w="150" w:type="dxa"/>
                  <w:shd w:val="clear" w:color="auto" w:fill="FFFFFF"/>
                  <w:vAlign w:val="center"/>
                  <w:hideMark/>
                </w:tcPr>
                <w:p w:rsidR="00671693" w:rsidRDefault="00671693"/>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67169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67169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8"/>
                              </w:tblGrid>
                              <w:tr w:rsidR="0067169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671693">
                                      <w:tc>
                                        <w:tcPr>
                                          <w:tcW w:w="0" w:type="auto"/>
                                          <w:vAlign w:val="center"/>
                                          <w:hideMark/>
                                        </w:tcPr>
                                        <w:p w:rsidR="00671693" w:rsidRDefault="00671693">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B3838"/>
                                            </w:rPr>
                                            <w:t>COMMUNIQUE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671693">
                                      <w:trPr>
                                        <w:trHeight w:val="300"/>
                                        <w:jc w:val="center"/>
                                      </w:trPr>
                                      <w:tc>
                                        <w:tcPr>
                                          <w:tcW w:w="0" w:type="auto"/>
                                          <w:vAlign w:val="center"/>
                                          <w:hideMark/>
                                        </w:tcPr>
                                        <w:p w:rsidR="00671693" w:rsidRDefault="00671693">
                                          <w:pPr>
                                            <w:spacing w:line="300" w:lineRule="exact"/>
                                            <w:rPr>
                                              <w:sz w:val="30"/>
                                              <w:szCs w:val="30"/>
                                            </w:rPr>
                                          </w:pPr>
                                          <w:r>
                                            <w:rPr>
                                              <w:sz w:val="30"/>
                                              <w:szCs w:val="30"/>
                                            </w:rPr>
                                            <w:t xml:space="preserve">  </w:t>
                                          </w:r>
                                        </w:p>
                                      </w:tc>
                                    </w:tr>
                                  </w:tbl>
                                  <w:p w:rsidR="00671693" w:rsidRDefault="00671693">
                                    <w:pPr>
                                      <w:jc w:val="center"/>
                                      <w:rPr>
                                        <w:rFonts w:eastAsia="Times New Roman"/>
                                        <w:sz w:val="20"/>
                                        <w:szCs w:val="20"/>
                                      </w:rPr>
                                    </w:pPr>
                                  </w:p>
                                </w:tc>
                              </w:tr>
                            </w:tbl>
                            <w:p w:rsidR="00671693" w:rsidRDefault="00671693">
                              <w:pPr>
                                <w:rPr>
                                  <w:rFonts w:eastAsia="Times New Roman"/>
                                  <w:sz w:val="20"/>
                                  <w:szCs w:val="20"/>
                                </w:rPr>
                              </w:pPr>
                            </w:p>
                          </w:tc>
                        </w:tr>
                      </w:tbl>
                      <w:p w:rsidR="00671693" w:rsidRDefault="00671693">
                        <w:pPr>
                          <w:jc w:val="center"/>
                          <w:rPr>
                            <w:rFonts w:eastAsia="Times New Roman"/>
                            <w:sz w:val="20"/>
                            <w:szCs w:val="20"/>
                          </w:rPr>
                        </w:pPr>
                      </w:p>
                    </w:tc>
                  </w:tr>
                </w:tbl>
                <w:p w:rsidR="00671693" w:rsidRDefault="00671693">
                  <w:pPr>
                    <w:jc w:val="center"/>
                    <w:rPr>
                      <w:rFonts w:eastAsia="Times New Roman"/>
                      <w:sz w:val="20"/>
                      <w:szCs w:val="20"/>
                    </w:rPr>
                  </w:pPr>
                </w:p>
              </w:tc>
              <w:tc>
                <w:tcPr>
                  <w:tcW w:w="150" w:type="dxa"/>
                  <w:shd w:val="clear" w:color="auto" w:fill="FFFFFF"/>
                  <w:vAlign w:val="center"/>
                  <w:hideMark/>
                </w:tcPr>
                <w:p w:rsidR="00671693" w:rsidRDefault="00671693">
                  <w:pPr>
                    <w:rPr>
                      <w:rFonts w:eastAsia="Times New Roman"/>
                      <w:sz w:val="20"/>
                      <w:szCs w:val="20"/>
                    </w:rPr>
                  </w:pPr>
                </w:p>
              </w:tc>
            </w:tr>
          </w:tbl>
          <w:p w:rsidR="00671693" w:rsidRDefault="00671693">
            <w:pPr>
              <w:rPr>
                <w:rFonts w:eastAsia="Times New Roman"/>
                <w:sz w:val="20"/>
                <w:szCs w:val="20"/>
              </w:rPr>
            </w:pPr>
          </w:p>
        </w:tc>
      </w:tr>
      <w:tr w:rsidR="00671693" w:rsidTr="00671693">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671693">
              <w:tc>
                <w:tcPr>
                  <w:tcW w:w="150" w:type="dxa"/>
                  <w:shd w:val="clear" w:color="auto" w:fill="FFFFFF"/>
                  <w:vAlign w:val="center"/>
                  <w:hideMark/>
                </w:tcPr>
                <w:p w:rsidR="00671693" w:rsidRDefault="00671693">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3"/>
                  </w:tblGrid>
                  <w:tr w:rsidR="0067169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3"/>
                        </w:tblGrid>
                        <w:tr w:rsidR="0067169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3"/>
                              </w:tblGrid>
                              <w:tr w:rsidR="0067169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671693">
                                      <w:tc>
                                        <w:tcPr>
                                          <w:tcW w:w="0" w:type="auto"/>
                                          <w:vAlign w:val="center"/>
                                          <w:hideMark/>
                                        </w:tcPr>
                                        <w:p w:rsidR="00671693" w:rsidRDefault="00671693">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B3838"/>
                                              <w:sz w:val="18"/>
                                              <w:szCs w:val="18"/>
                                            </w:rPr>
                                            <w:t>Paris, le 16 mars 2022</w:t>
                                          </w:r>
                                        </w:p>
                                      </w:tc>
                                    </w:tr>
                                  </w:tbl>
                                  <w:p w:rsidR="00671693" w:rsidRDefault="00671693">
                                    <w:pPr>
                                      <w:rPr>
                                        <w:rFonts w:eastAsia="Times New Roman"/>
                                        <w:sz w:val="20"/>
                                        <w:szCs w:val="20"/>
                                      </w:rPr>
                                    </w:pPr>
                                  </w:p>
                                </w:tc>
                              </w:tr>
                            </w:tbl>
                            <w:p w:rsidR="00671693" w:rsidRDefault="00671693">
                              <w:pPr>
                                <w:rPr>
                                  <w:rFonts w:eastAsia="Times New Roman"/>
                                  <w:sz w:val="20"/>
                                  <w:szCs w:val="20"/>
                                </w:rPr>
                              </w:pPr>
                            </w:p>
                          </w:tc>
                        </w:tr>
                      </w:tbl>
                      <w:p w:rsidR="00671693" w:rsidRDefault="00671693">
                        <w:pPr>
                          <w:jc w:val="center"/>
                          <w:rPr>
                            <w:rFonts w:eastAsia="Times New Roman"/>
                            <w:sz w:val="20"/>
                            <w:szCs w:val="20"/>
                          </w:rPr>
                        </w:pPr>
                      </w:p>
                    </w:tc>
                  </w:tr>
                </w:tbl>
                <w:p w:rsidR="00671693" w:rsidRDefault="00671693">
                  <w:pPr>
                    <w:jc w:val="center"/>
                    <w:rPr>
                      <w:rFonts w:eastAsia="Times New Roman"/>
                      <w:sz w:val="20"/>
                      <w:szCs w:val="20"/>
                    </w:rPr>
                  </w:pPr>
                </w:p>
              </w:tc>
              <w:tc>
                <w:tcPr>
                  <w:tcW w:w="150" w:type="dxa"/>
                  <w:shd w:val="clear" w:color="auto" w:fill="FFFFFF"/>
                  <w:vAlign w:val="center"/>
                  <w:hideMark/>
                </w:tcPr>
                <w:p w:rsidR="00671693" w:rsidRDefault="00671693">
                  <w:pPr>
                    <w:rPr>
                      <w:rFonts w:eastAsia="Times New Roman"/>
                      <w:sz w:val="20"/>
                      <w:szCs w:val="20"/>
                    </w:rPr>
                  </w:pPr>
                </w:p>
              </w:tc>
            </w:tr>
          </w:tbl>
          <w:p w:rsidR="00671693" w:rsidRDefault="00671693">
            <w:pPr>
              <w:rPr>
                <w:rFonts w:eastAsia="Times New Roman"/>
                <w:sz w:val="20"/>
                <w:szCs w:val="20"/>
              </w:rPr>
            </w:pPr>
          </w:p>
        </w:tc>
      </w:tr>
    </w:tbl>
    <w:p w:rsidR="00671693" w:rsidRDefault="00671693" w:rsidP="00671693"/>
    <w:tbl>
      <w:tblPr>
        <w:tblW w:w="5000" w:type="pct"/>
        <w:tblCellMar>
          <w:left w:w="0" w:type="dxa"/>
          <w:right w:w="0" w:type="dxa"/>
        </w:tblCellMar>
        <w:tblLook w:val="04A0" w:firstRow="1" w:lastRow="0" w:firstColumn="1" w:lastColumn="0" w:noHBand="0" w:noVBand="1"/>
      </w:tblPr>
      <w:tblGrid>
        <w:gridCol w:w="9072"/>
      </w:tblGrid>
      <w:tr w:rsidR="00671693" w:rsidTr="00671693">
        <w:tc>
          <w:tcPr>
            <w:tcW w:w="0" w:type="auto"/>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671693">
              <w:tc>
                <w:tcPr>
                  <w:tcW w:w="150" w:type="dxa"/>
                  <w:shd w:val="clear" w:color="auto" w:fill="FFFFFF"/>
                  <w:vAlign w:val="center"/>
                  <w:hideMark/>
                </w:tcPr>
                <w:p w:rsidR="00671693" w:rsidRDefault="00671693"/>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0"/>
                  </w:tblGrid>
                  <w:tr w:rsidR="00671693">
                    <w:trPr>
                      <w:jc w:val="center"/>
                    </w:trPr>
                    <w:tc>
                      <w:tcPr>
                        <w:tcW w:w="0" w:type="auto"/>
                        <w:shd w:val="clear" w:color="auto" w:fill="FFFFFF"/>
                        <w:vAlign w:val="center"/>
                        <w:hideMark/>
                      </w:tcPr>
                      <w:p w:rsidR="00671693" w:rsidRDefault="00671693">
                        <w:pPr>
                          <w:rPr>
                            <w:rFonts w:eastAsia="Times New Roman"/>
                            <w:sz w:val="20"/>
                            <w:szCs w:val="20"/>
                          </w:rPr>
                        </w:pPr>
                      </w:p>
                    </w:tc>
                  </w:tr>
                </w:tbl>
                <w:p w:rsidR="00671693" w:rsidRDefault="00671693">
                  <w:pPr>
                    <w:jc w:val="center"/>
                    <w:rPr>
                      <w:rFonts w:eastAsia="Times New Roman"/>
                      <w:sz w:val="20"/>
                      <w:szCs w:val="20"/>
                    </w:rPr>
                  </w:pPr>
                </w:p>
              </w:tc>
              <w:tc>
                <w:tcPr>
                  <w:tcW w:w="150" w:type="dxa"/>
                  <w:shd w:val="clear" w:color="auto" w:fill="FFFFFF"/>
                  <w:vAlign w:val="center"/>
                  <w:hideMark/>
                </w:tcPr>
                <w:p w:rsidR="00671693" w:rsidRDefault="00671693">
                  <w:pPr>
                    <w:rPr>
                      <w:rFonts w:eastAsia="Times New Roman"/>
                      <w:sz w:val="20"/>
                      <w:szCs w:val="20"/>
                    </w:rPr>
                  </w:pPr>
                </w:p>
              </w:tc>
            </w:tr>
          </w:tbl>
          <w:p w:rsidR="00671693" w:rsidRDefault="00671693">
            <w:pPr>
              <w:rPr>
                <w:rFonts w:eastAsia="Times New Roman"/>
                <w:sz w:val="20"/>
                <w:szCs w:val="20"/>
              </w:rPr>
            </w:pPr>
          </w:p>
        </w:tc>
      </w:tr>
      <w:tr w:rsidR="00671693" w:rsidTr="00671693">
        <w:tc>
          <w:tcPr>
            <w:tcW w:w="0" w:type="auto"/>
            <w:vAlign w:val="center"/>
            <w:hideMark/>
          </w:tcPr>
          <w:tbl>
            <w:tblPr>
              <w:tblW w:w="0" w:type="auto"/>
              <w:tblCellMar>
                <w:left w:w="0" w:type="dxa"/>
                <w:right w:w="0" w:type="dxa"/>
              </w:tblCellMar>
              <w:tblLook w:val="04A0" w:firstRow="1" w:lastRow="0" w:firstColumn="1" w:lastColumn="0" w:noHBand="0" w:noVBand="1"/>
            </w:tblPr>
            <w:tblGrid>
              <w:gridCol w:w="130"/>
              <w:gridCol w:w="8813"/>
              <w:gridCol w:w="129"/>
            </w:tblGrid>
            <w:tr w:rsidR="00671693">
              <w:tc>
                <w:tcPr>
                  <w:tcW w:w="150" w:type="dxa"/>
                  <w:shd w:val="clear" w:color="auto" w:fill="FFFFFF"/>
                  <w:vAlign w:val="center"/>
                  <w:hideMark/>
                </w:tcPr>
                <w:p w:rsidR="00671693" w:rsidRDefault="00671693">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3"/>
                  </w:tblGrid>
                  <w:tr w:rsidR="0067169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3"/>
                        </w:tblGrid>
                        <w:tr w:rsidR="0067169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3"/>
                              </w:tblGrid>
                              <w:tr w:rsidR="00671693">
                                <w:tc>
                                  <w:tcPr>
                                    <w:tcW w:w="0" w:type="auto"/>
                                    <w:tcMar>
                                      <w:top w:w="300" w:type="dxa"/>
                                      <w:left w:w="300" w:type="dxa"/>
                                      <w:bottom w:w="300" w:type="dxa"/>
                                      <w:right w:w="300" w:type="dxa"/>
                                    </w:tcMar>
                                    <w:vAlign w:val="center"/>
                                  </w:tcPr>
                                  <w:p w:rsidR="00671693" w:rsidRDefault="00671693">
                                    <w:pPr>
                                      <w:spacing w:line="276" w:lineRule="auto"/>
                                      <w:jc w:val="both"/>
                                      <w:rPr>
                                        <w:rFonts w:ascii="Arial" w:hAnsi="Arial" w:cs="Arial"/>
                                        <w:color w:val="3B3838"/>
                                      </w:rPr>
                                    </w:pPr>
                                    <w:r>
                                      <w:rPr>
                                        <w:rFonts w:ascii="Arial" w:hAnsi="Arial" w:cs="Arial"/>
                                        <w:b/>
                                        <w:bCs/>
                                        <w:color w:val="3B3838"/>
                                      </w:rPr>
                                      <w:t>Le Gouvernement s’engage pour un emploi de qualité et responsable dans ses achats publics dans les filières de la propreté et de la sécurité privée</w:t>
                                    </w:r>
                                  </w:p>
                                  <w:p w:rsidR="00671693" w:rsidRDefault="00671693">
                                    <w:pPr>
                                      <w:spacing w:line="276" w:lineRule="auto"/>
                                      <w:rPr>
                                        <w:rFonts w:ascii="Arial" w:hAnsi="Arial" w:cs="Arial"/>
                                        <w:color w:val="3B3838"/>
                                        <w:sz w:val="21"/>
                                        <w:szCs w:val="21"/>
                                      </w:rPr>
                                    </w:pPr>
                                  </w:p>
                                  <w:p w:rsidR="00671693" w:rsidRDefault="00671693">
                                    <w:pPr>
                                      <w:spacing w:line="276" w:lineRule="auto"/>
                                      <w:jc w:val="both"/>
                                      <w:rPr>
                                        <w:rFonts w:ascii="Arial" w:hAnsi="Arial" w:cs="Arial"/>
                                        <w:b/>
                                        <w:bCs/>
                                        <w:color w:val="3B3838"/>
                                        <w:sz w:val="21"/>
                                        <w:szCs w:val="21"/>
                                      </w:rPr>
                                    </w:pPr>
                                    <w:r>
                                      <w:rPr>
                                        <w:rFonts w:ascii="Arial" w:hAnsi="Arial" w:cs="Arial"/>
                                        <w:b/>
                                        <w:bCs/>
                                        <w:color w:val="3B3838"/>
                                        <w:sz w:val="21"/>
                                        <w:szCs w:val="21"/>
                                      </w:rPr>
                                      <w:t xml:space="preserve">Elisabeth Borne, ministre du Travail, de l’Emploi et de l’Insertion, Amélie de </w:t>
                                    </w:r>
                                    <w:proofErr w:type="spellStart"/>
                                    <w:r>
                                      <w:rPr>
                                        <w:rFonts w:ascii="Arial" w:hAnsi="Arial" w:cs="Arial"/>
                                        <w:b/>
                                        <w:bCs/>
                                        <w:color w:val="3B3838"/>
                                        <w:sz w:val="21"/>
                                        <w:szCs w:val="21"/>
                                      </w:rPr>
                                      <w:t>Montchalin</w:t>
                                    </w:r>
                                    <w:proofErr w:type="spellEnd"/>
                                    <w:r>
                                      <w:rPr>
                                        <w:rFonts w:ascii="Arial" w:hAnsi="Arial" w:cs="Arial"/>
                                        <w:b/>
                                        <w:bCs/>
                                        <w:color w:val="3B3838"/>
                                        <w:sz w:val="21"/>
                                        <w:szCs w:val="21"/>
                                      </w:rPr>
                                      <w:t xml:space="preserve">, ministre de la Transformation et de la Fonction publiques et Olivier </w:t>
                                    </w:r>
                                    <w:proofErr w:type="spellStart"/>
                                    <w:r>
                                      <w:rPr>
                                        <w:rFonts w:ascii="Arial" w:hAnsi="Arial" w:cs="Arial"/>
                                        <w:b/>
                                        <w:bCs/>
                                        <w:color w:val="3B3838"/>
                                        <w:sz w:val="21"/>
                                        <w:szCs w:val="21"/>
                                      </w:rPr>
                                      <w:t>Dussopt</w:t>
                                    </w:r>
                                    <w:proofErr w:type="spellEnd"/>
                                    <w:r>
                                      <w:rPr>
                                        <w:rFonts w:ascii="Arial" w:hAnsi="Arial" w:cs="Arial"/>
                                        <w:b/>
                                        <w:bCs/>
                                        <w:color w:val="3B3838"/>
                                        <w:sz w:val="21"/>
                                        <w:szCs w:val="21"/>
                                      </w:rPr>
                                      <w:t xml:space="preserve">, ministre délégué chargé des Comptes publics, signent une circulaire pour renforcer la qualité sociale et environnementale attendue des prestations et dans la procédure d’attribution des marchés publics, dans les secteurs de la propreté et de la sécurité privée. L’Etat, dont les achats constituent environ 3% du chiffre d’affaires français de la sécurité et du gardiennage, et 9% de celui de la propreté et du nettoyage, entend </w:t>
                                    </w:r>
                                    <w:proofErr w:type="gramStart"/>
                                    <w:r>
                                      <w:rPr>
                                        <w:rFonts w:ascii="Arial" w:hAnsi="Arial" w:cs="Arial"/>
                                        <w:b/>
                                        <w:bCs/>
                                        <w:color w:val="3B3838"/>
                                        <w:sz w:val="21"/>
                                        <w:szCs w:val="21"/>
                                      </w:rPr>
                                      <w:t>ainsi  jouer</w:t>
                                    </w:r>
                                    <w:proofErr w:type="gramEnd"/>
                                    <w:r>
                                      <w:rPr>
                                        <w:rFonts w:ascii="Arial" w:hAnsi="Arial" w:cs="Arial"/>
                                        <w:b/>
                                        <w:bCs/>
                                        <w:color w:val="3B3838"/>
                                        <w:sz w:val="21"/>
                                        <w:szCs w:val="21"/>
                                      </w:rPr>
                                      <w:t xml:space="preserve"> un rôle exemplaire. </w:t>
                                    </w:r>
                                  </w:p>
                                  <w:p w:rsidR="00671693" w:rsidRDefault="00671693">
                                    <w:pPr>
                                      <w:spacing w:line="276" w:lineRule="auto"/>
                                      <w:jc w:val="both"/>
                                      <w:rPr>
                                        <w:rFonts w:ascii="Arial" w:hAnsi="Arial" w:cs="Arial"/>
                                        <w:b/>
                                        <w:bCs/>
                                        <w:color w:val="3B3838"/>
                                        <w:sz w:val="21"/>
                                        <w:szCs w:val="21"/>
                                      </w:rPr>
                                    </w:pPr>
                                  </w:p>
                                  <w:p w:rsidR="00671693" w:rsidRDefault="00671693">
                                    <w:pPr>
                                      <w:spacing w:line="276" w:lineRule="auto"/>
                                      <w:jc w:val="both"/>
                                      <w:rPr>
                                        <w:rFonts w:ascii="Arial" w:hAnsi="Arial" w:cs="Arial"/>
                                        <w:color w:val="3B3838"/>
                                        <w:sz w:val="21"/>
                                        <w:szCs w:val="21"/>
                                      </w:rPr>
                                    </w:pPr>
                                    <w:r>
                                      <w:rPr>
                                        <w:rFonts w:ascii="Arial" w:hAnsi="Arial" w:cs="Arial"/>
                                        <w:color w:val="3B3838"/>
                                        <w:sz w:val="21"/>
                                        <w:szCs w:val="21"/>
                                      </w:rPr>
                                      <w:t>La crise sanitaire a mis en lumière certaines professions indispensables au fonctionnement de l’économie et des services publics ainsi que la nécessité de mieux valoriser et d’améliorer la qualité des métiers qui ont permis la continuité de la vie de la Nation. C’est notamment le cas des filières de la propreté et de la sécurité privée qui sont largement mobilisées pour les besoins de l’État et de l’ensemble des acteurs publics.   </w:t>
                                    </w:r>
                                  </w:p>
                                  <w:p w:rsidR="00671693" w:rsidRDefault="00671693">
                                    <w:pPr>
                                      <w:spacing w:line="276" w:lineRule="auto"/>
                                      <w:jc w:val="both"/>
                                      <w:rPr>
                                        <w:rFonts w:ascii="Arial" w:hAnsi="Arial" w:cs="Arial"/>
                                        <w:color w:val="3B3838"/>
                                        <w:sz w:val="21"/>
                                        <w:szCs w:val="21"/>
                                      </w:rPr>
                                    </w:pPr>
                                  </w:p>
                                  <w:p w:rsidR="00671693" w:rsidRDefault="00671693">
                                    <w:pPr>
                                      <w:spacing w:line="276" w:lineRule="auto"/>
                                      <w:jc w:val="both"/>
                                      <w:rPr>
                                        <w:rFonts w:ascii="Arial" w:hAnsi="Arial" w:cs="Arial"/>
                                        <w:b/>
                                        <w:bCs/>
                                        <w:color w:val="3B3838"/>
                                        <w:sz w:val="21"/>
                                        <w:szCs w:val="21"/>
                                      </w:rPr>
                                    </w:pPr>
                                    <w:r>
                                      <w:rPr>
                                        <w:rFonts w:ascii="Arial" w:hAnsi="Arial" w:cs="Arial"/>
                                        <w:color w:val="3B3838"/>
                                        <w:sz w:val="21"/>
                                        <w:szCs w:val="21"/>
                                      </w:rPr>
                                      <w:t xml:space="preserve">Les acheteurs publics ont un rôle à jouer dans l’amélioration des conditions de travail et de rémunération de ces travailleurs. Le choix de critères qualitatifs, complémentaires à celui du prix, doit devenir un levier puissant pour tirer vers le haut les conditions de travail des salariés des entreprises prestataires. </w:t>
                                    </w:r>
                                    <w:r>
                                      <w:rPr>
                                        <w:rFonts w:ascii="Arial" w:hAnsi="Arial" w:cs="Arial"/>
                                        <w:b/>
                                        <w:bCs/>
                                        <w:color w:val="3B3838"/>
                                        <w:sz w:val="21"/>
                                        <w:szCs w:val="21"/>
                                      </w:rPr>
                                      <w:t>C’est tout l’objet de la présente circulaire, qui recommande aux acheteurs de faire preuve d’une particulière vigilance quant à la qualité sociale et environnementale attendue des prestations et dans l’attribution des marchés.</w:t>
                                    </w:r>
                                  </w:p>
                                  <w:p w:rsidR="00671693" w:rsidRDefault="00671693">
                                    <w:pPr>
                                      <w:spacing w:line="276" w:lineRule="auto"/>
                                      <w:jc w:val="both"/>
                                      <w:rPr>
                                        <w:rFonts w:ascii="Arial" w:hAnsi="Arial" w:cs="Arial"/>
                                        <w:b/>
                                        <w:bCs/>
                                        <w:color w:val="3B3838"/>
                                        <w:sz w:val="21"/>
                                        <w:szCs w:val="21"/>
                                      </w:rPr>
                                    </w:pPr>
                                  </w:p>
                                  <w:p w:rsidR="00671693" w:rsidRDefault="00671693">
                                    <w:pPr>
                                      <w:spacing w:line="276" w:lineRule="auto"/>
                                      <w:jc w:val="both"/>
                                      <w:rPr>
                                        <w:rFonts w:ascii="Arial" w:hAnsi="Arial" w:cs="Arial"/>
                                        <w:color w:val="3B3838"/>
                                        <w:sz w:val="21"/>
                                        <w:szCs w:val="21"/>
                                      </w:rPr>
                                    </w:pPr>
                                    <w:r>
                                      <w:rPr>
                                        <w:rFonts w:ascii="Arial" w:hAnsi="Arial" w:cs="Arial"/>
                                        <w:color w:val="3B3838"/>
                                        <w:sz w:val="21"/>
                                        <w:szCs w:val="21"/>
                                      </w:rPr>
                                      <w:t xml:space="preserve">Elle s’inscrit en conséquence dans le cadre des 22 actions du nouveau plan national pour des achat durables (PNAD) et qui porte deux objectifs : d’ici 2025, 100% des contrats de </w:t>
                                    </w:r>
                                    <w:r>
                                      <w:rPr>
                                        <w:rFonts w:ascii="Arial" w:hAnsi="Arial" w:cs="Arial"/>
                                        <w:color w:val="3B3838"/>
                                        <w:sz w:val="21"/>
                                        <w:szCs w:val="21"/>
                                      </w:rPr>
                                      <w:lastRenderedPageBreak/>
                                      <w:t xml:space="preserve">la commande publique avec une considération environnementale et 30% avec une considération sociale. </w:t>
                                    </w:r>
                                  </w:p>
                                  <w:p w:rsidR="00671693" w:rsidRDefault="00671693">
                                    <w:pPr>
                                      <w:spacing w:line="276" w:lineRule="auto"/>
                                      <w:jc w:val="both"/>
                                      <w:rPr>
                                        <w:rFonts w:ascii="Arial" w:hAnsi="Arial" w:cs="Arial"/>
                                        <w:color w:val="3B3838"/>
                                        <w:sz w:val="21"/>
                                        <w:szCs w:val="21"/>
                                      </w:rPr>
                                    </w:pPr>
                                  </w:p>
                                  <w:p w:rsidR="00671693" w:rsidRDefault="00671693">
                                    <w:pPr>
                                      <w:spacing w:line="276" w:lineRule="auto"/>
                                      <w:jc w:val="both"/>
                                      <w:rPr>
                                        <w:rFonts w:ascii="Arial" w:hAnsi="Arial" w:cs="Arial"/>
                                        <w:color w:val="3B3838"/>
                                        <w:sz w:val="21"/>
                                        <w:szCs w:val="21"/>
                                      </w:rPr>
                                    </w:pPr>
                                    <w:r>
                                      <w:rPr>
                                        <w:rFonts w:ascii="Arial" w:hAnsi="Arial" w:cs="Arial"/>
                                        <w:color w:val="3B3838"/>
                                        <w:sz w:val="21"/>
                                        <w:szCs w:val="21"/>
                                      </w:rPr>
                                      <w:t>Adressée à l’ensemble des acheteurs des services de l’État (administrations centrales, services à compétence nationale, juridictions, services déconcentrés) et de ses établissements publics, la circulaire formule ainsi six préconisations et rappelle les bonnes pratiques applicables en matière d’achat public :</w:t>
                                    </w:r>
                                  </w:p>
                                  <w:p w:rsidR="00671693" w:rsidRDefault="00671693" w:rsidP="006E285C">
                                    <w:pPr>
                                      <w:pStyle w:val="Paragraphedeliste"/>
                                      <w:numPr>
                                        <w:ilvl w:val="0"/>
                                        <w:numId w:val="1"/>
                                      </w:numPr>
                                      <w:spacing w:after="0" w:line="276" w:lineRule="auto"/>
                                      <w:jc w:val="both"/>
                                      <w:rPr>
                                        <w:rFonts w:ascii="Arial" w:hAnsi="Arial" w:cs="Arial"/>
                                        <w:b/>
                                        <w:bCs/>
                                        <w:color w:val="3B3838"/>
                                        <w:sz w:val="21"/>
                                        <w:szCs w:val="21"/>
                                      </w:rPr>
                                    </w:pPr>
                                    <w:r>
                                      <w:rPr>
                                        <w:rFonts w:ascii="Arial" w:hAnsi="Arial" w:cs="Arial"/>
                                        <w:b/>
                                        <w:bCs/>
                                        <w:color w:val="3B3838"/>
                                        <w:sz w:val="21"/>
                                        <w:szCs w:val="21"/>
                                      </w:rPr>
                                      <w:t xml:space="preserve">Préconisation n° 1 : approfondir la connaissance par les acheteurs du tissu économique auquel ils s’adressent. </w:t>
                                    </w:r>
                                    <w:r>
                                      <w:rPr>
                                        <w:rFonts w:ascii="Arial" w:hAnsi="Arial" w:cs="Arial"/>
                                        <w:color w:val="3B3838"/>
                                        <w:sz w:val="21"/>
                                        <w:szCs w:val="21"/>
                                      </w:rPr>
                                      <w:t xml:space="preserve">Il s’agit pour l’acheteur d’identifier les freins empêchant les entreprises, notamment des PME et TPE, de concourir aux consultations de marché, pour mieux construire les offres. </w:t>
                                    </w:r>
                                  </w:p>
                                  <w:p w:rsidR="00671693" w:rsidRDefault="00671693">
                                    <w:pPr>
                                      <w:pStyle w:val="Paragraphedeliste"/>
                                      <w:spacing w:after="0" w:line="276" w:lineRule="auto"/>
                                      <w:jc w:val="both"/>
                                      <w:rPr>
                                        <w:rFonts w:ascii="Arial" w:hAnsi="Arial" w:cs="Arial"/>
                                        <w:b/>
                                        <w:bCs/>
                                        <w:color w:val="3B3838"/>
                                        <w:sz w:val="21"/>
                                        <w:szCs w:val="21"/>
                                      </w:rPr>
                                    </w:pPr>
                                  </w:p>
                                  <w:p w:rsidR="00671693" w:rsidRDefault="00671693" w:rsidP="006E285C">
                                    <w:pPr>
                                      <w:pStyle w:val="Paragraphedeliste"/>
                                      <w:numPr>
                                        <w:ilvl w:val="0"/>
                                        <w:numId w:val="1"/>
                                      </w:numPr>
                                      <w:spacing w:after="0" w:line="276" w:lineRule="auto"/>
                                      <w:jc w:val="both"/>
                                      <w:rPr>
                                        <w:rFonts w:ascii="Arial" w:hAnsi="Arial" w:cs="Arial"/>
                                        <w:b/>
                                        <w:bCs/>
                                        <w:color w:val="3B3838"/>
                                        <w:sz w:val="21"/>
                                        <w:szCs w:val="21"/>
                                      </w:rPr>
                                    </w:pPr>
                                    <w:r>
                                      <w:rPr>
                                        <w:rFonts w:ascii="Arial" w:hAnsi="Arial" w:cs="Arial"/>
                                        <w:b/>
                                        <w:bCs/>
                                        <w:color w:val="3B3838"/>
                                        <w:sz w:val="21"/>
                                        <w:szCs w:val="21"/>
                                      </w:rPr>
                                      <w:t xml:space="preserve">Préconisation n° 2 : équilibrer les conditions contractuelles des marchés (prix, qualité, délai) au regard des exigences de qualité sociale et environnementale. </w:t>
                                    </w:r>
                                    <w:r>
                                      <w:rPr>
                                        <w:rFonts w:ascii="Arial" w:hAnsi="Arial" w:cs="Arial"/>
                                        <w:color w:val="3B3838"/>
                                        <w:sz w:val="21"/>
                                        <w:szCs w:val="21"/>
                                      </w:rPr>
                                      <w:t xml:space="preserve">La circulaire recommande de privilégier la qualité de service pour l’attribution des marchés. En fonction du besoin et du contexte de l’achat, elle demande de viser une valorisation des moyens humains, moyens techniques ou conditions d’exercice de la prestation notamment, dans une valeur technique de l’offre au moins égale </w:t>
                                    </w:r>
                                    <w:r>
                                      <w:rPr>
                                        <w:rFonts w:ascii="Arial" w:hAnsi="Arial" w:cs="Arial"/>
                                        <w:color w:val="3B3838"/>
                                        <w:sz w:val="21"/>
                                        <w:szCs w:val="21"/>
                                        <w:u w:val="single"/>
                                      </w:rPr>
                                      <w:t>à 50 %</w:t>
                                    </w:r>
                                    <w:r>
                                      <w:rPr>
                                        <w:rFonts w:ascii="Arial" w:hAnsi="Arial" w:cs="Arial"/>
                                        <w:color w:val="3B3838"/>
                                        <w:sz w:val="21"/>
                                        <w:szCs w:val="21"/>
                                      </w:rPr>
                                      <w:t xml:space="preserve"> dans la pondération des critères de choix des offres. </w:t>
                                    </w:r>
                                  </w:p>
                                  <w:p w:rsidR="00671693" w:rsidRDefault="00671693">
                                    <w:pPr>
                                      <w:spacing w:line="276" w:lineRule="auto"/>
                                      <w:ind w:left="360"/>
                                      <w:jc w:val="both"/>
                                      <w:rPr>
                                        <w:rFonts w:ascii="Arial" w:hAnsi="Arial" w:cs="Arial"/>
                                        <w:b/>
                                        <w:bCs/>
                                        <w:color w:val="3B3838"/>
                                        <w:sz w:val="21"/>
                                        <w:szCs w:val="21"/>
                                      </w:rPr>
                                    </w:pPr>
                                  </w:p>
                                  <w:p w:rsidR="00671693" w:rsidRDefault="00671693" w:rsidP="006E285C">
                                    <w:pPr>
                                      <w:pStyle w:val="Paragraphedeliste"/>
                                      <w:numPr>
                                        <w:ilvl w:val="0"/>
                                        <w:numId w:val="1"/>
                                      </w:numPr>
                                      <w:spacing w:after="0" w:line="276" w:lineRule="auto"/>
                                      <w:jc w:val="both"/>
                                      <w:rPr>
                                        <w:rFonts w:ascii="Arial" w:hAnsi="Arial" w:cs="Arial"/>
                                        <w:b/>
                                        <w:bCs/>
                                        <w:color w:val="3B3838"/>
                                        <w:sz w:val="21"/>
                                        <w:szCs w:val="21"/>
                                      </w:rPr>
                                    </w:pPr>
                                    <w:r>
                                      <w:rPr>
                                        <w:rFonts w:ascii="Arial" w:hAnsi="Arial" w:cs="Arial"/>
                                        <w:b/>
                                        <w:bCs/>
                                        <w:color w:val="3B3838"/>
                                        <w:sz w:val="21"/>
                                        <w:szCs w:val="21"/>
                                      </w:rPr>
                                      <w:t>Préconisation n° 3 : promouvoir plus systématiquement le recours à certaines méthodes d’achat pour mieux accompagner les petites et moyennes entreprises</w:t>
                                    </w:r>
                                    <w:r>
                                      <w:rPr>
                                        <w:rFonts w:ascii="Arial" w:hAnsi="Arial" w:cs="Arial"/>
                                        <w:color w:val="3B3838"/>
                                        <w:sz w:val="21"/>
                                        <w:szCs w:val="21"/>
                                      </w:rPr>
                                      <w:t xml:space="preserve"> (</w:t>
                                    </w:r>
                                    <w:r>
                                      <w:rPr>
                                        <w:rFonts w:ascii="Arial" w:hAnsi="Arial" w:cs="Arial"/>
                                        <w:b/>
                                        <w:bCs/>
                                        <w:color w:val="3B3838"/>
                                        <w:sz w:val="21"/>
                                        <w:szCs w:val="21"/>
                                      </w:rPr>
                                      <w:t>PME).</w:t>
                                    </w:r>
                                    <w:r>
                                      <w:rPr>
                                        <w:rFonts w:ascii="Arial" w:hAnsi="Arial" w:cs="Arial"/>
                                        <w:color w:val="3B3838"/>
                                        <w:sz w:val="21"/>
                                        <w:szCs w:val="21"/>
                                      </w:rPr>
                                      <w:t xml:space="preserve"> Il est recommandé de mieux</w:t>
                                    </w:r>
                                    <w:r>
                                      <w:rPr>
                                        <w:rFonts w:ascii="Arial" w:hAnsi="Arial" w:cs="Arial"/>
                                        <w:b/>
                                        <w:bCs/>
                                        <w:color w:val="3B3838"/>
                                        <w:sz w:val="21"/>
                                        <w:szCs w:val="21"/>
                                      </w:rPr>
                                      <w:t xml:space="preserve"> </w:t>
                                    </w:r>
                                    <w:r>
                                      <w:rPr>
                                        <w:rFonts w:ascii="Arial" w:hAnsi="Arial" w:cs="Arial"/>
                                        <w:color w:val="3B3838"/>
                                        <w:sz w:val="21"/>
                                        <w:szCs w:val="21"/>
                                      </w:rPr>
                                      <w:t xml:space="preserve">faire connaître aux PME la possibilité de se constituer au sein d’un Groupement momentané d’entreprise (GME). Il s’agit d’un accord entre entreprises permettant d’élaborer une </w:t>
                                    </w:r>
                                    <w:r>
                                      <w:rPr>
                                        <w:rFonts w:ascii="Arial" w:hAnsi="Arial" w:cs="Arial"/>
                                        <w:b/>
                                        <w:bCs/>
                                        <w:color w:val="3B3838"/>
                                        <w:sz w:val="21"/>
                                        <w:szCs w:val="21"/>
                                      </w:rPr>
                                      <w:t>offre commune</w:t>
                                    </w:r>
                                    <w:r>
                                      <w:rPr>
                                        <w:rFonts w:ascii="Arial" w:hAnsi="Arial" w:cs="Arial"/>
                                        <w:color w:val="3B3838"/>
                                        <w:sz w:val="21"/>
                                        <w:szCs w:val="21"/>
                                      </w:rPr>
                                      <w:t xml:space="preserve"> en réponse à un marché public. Par ce biais les PME peuvent notamment répondre à un besoin qui dépasserait de prime abord leurs capacités de production. </w:t>
                                    </w:r>
                                  </w:p>
                                  <w:p w:rsidR="00671693" w:rsidRDefault="00671693">
                                    <w:pPr>
                                      <w:pStyle w:val="Paragraphedeliste"/>
                                      <w:spacing w:after="0" w:line="276" w:lineRule="auto"/>
                                      <w:jc w:val="both"/>
                                      <w:rPr>
                                        <w:rFonts w:ascii="Arial" w:hAnsi="Arial" w:cs="Arial"/>
                                        <w:b/>
                                        <w:bCs/>
                                        <w:color w:val="3B3838"/>
                                        <w:sz w:val="21"/>
                                        <w:szCs w:val="21"/>
                                      </w:rPr>
                                    </w:pPr>
                                  </w:p>
                                  <w:p w:rsidR="00671693" w:rsidRDefault="00671693" w:rsidP="006E285C">
                                    <w:pPr>
                                      <w:pStyle w:val="Paragraphedeliste"/>
                                      <w:numPr>
                                        <w:ilvl w:val="0"/>
                                        <w:numId w:val="1"/>
                                      </w:numPr>
                                      <w:spacing w:after="0" w:line="276" w:lineRule="auto"/>
                                      <w:jc w:val="both"/>
                                      <w:rPr>
                                        <w:rFonts w:ascii="Arial" w:hAnsi="Arial" w:cs="Arial"/>
                                        <w:color w:val="3B3838"/>
                                        <w:sz w:val="21"/>
                                        <w:szCs w:val="21"/>
                                      </w:rPr>
                                    </w:pPr>
                                    <w:r>
                                      <w:rPr>
                                        <w:rFonts w:ascii="Arial" w:hAnsi="Arial" w:cs="Arial"/>
                                        <w:b/>
                                        <w:bCs/>
                                        <w:color w:val="3B3838"/>
                                        <w:sz w:val="21"/>
                                        <w:szCs w:val="21"/>
                                      </w:rPr>
                                      <w:t>Préconisation n° 4 : renforcer l’objectif de performance sociale dans les marchés</w:t>
                                    </w:r>
                                    <w:r>
                                      <w:rPr>
                                        <w:rFonts w:ascii="Arial" w:hAnsi="Arial" w:cs="Arial"/>
                                        <w:color w:val="3B3838"/>
                                        <w:sz w:val="21"/>
                                        <w:szCs w:val="21"/>
                                      </w:rPr>
                                      <w:t>. Il s’agit notamment d’exercer une vigilance accrue en matière de travail dissimulé et de prévention de l’emploi de personnel étranger sans titre ; d’intégrer lorsque cela est possible une clause sociale d’insertion au profit des publics éloignés de l’emploi ; de développer le recours aux prestations réalisées en journée et en continu ; de favoriser l’emploi de personnel féminin ; de favoriser l’accès à la formation.</w:t>
                                    </w:r>
                                  </w:p>
                                  <w:p w:rsidR="00671693" w:rsidRDefault="00671693">
                                    <w:pPr>
                                      <w:pStyle w:val="Paragraphedeliste"/>
                                      <w:spacing w:after="0" w:line="276" w:lineRule="auto"/>
                                      <w:jc w:val="both"/>
                                      <w:rPr>
                                        <w:rFonts w:ascii="Arial" w:hAnsi="Arial" w:cs="Arial"/>
                                        <w:color w:val="3B3838"/>
                                        <w:sz w:val="21"/>
                                        <w:szCs w:val="21"/>
                                      </w:rPr>
                                    </w:pPr>
                                  </w:p>
                                  <w:p w:rsidR="00671693" w:rsidRDefault="00671693" w:rsidP="006E285C">
                                    <w:pPr>
                                      <w:pStyle w:val="Paragraphedeliste"/>
                                      <w:numPr>
                                        <w:ilvl w:val="0"/>
                                        <w:numId w:val="1"/>
                                      </w:numPr>
                                      <w:spacing w:after="0" w:line="276" w:lineRule="auto"/>
                                      <w:jc w:val="both"/>
                                      <w:rPr>
                                        <w:rFonts w:ascii="Arial" w:hAnsi="Arial" w:cs="Arial"/>
                                        <w:b/>
                                        <w:bCs/>
                                        <w:color w:val="3B3838"/>
                                        <w:sz w:val="21"/>
                                        <w:szCs w:val="21"/>
                                      </w:rPr>
                                    </w:pPr>
                                    <w:r>
                                      <w:rPr>
                                        <w:rFonts w:ascii="Arial" w:hAnsi="Arial" w:cs="Arial"/>
                                        <w:b/>
                                        <w:bCs/>
                                        <w:color w:val="3B3838"/>
                                        <w:sz w:val="21"/>
                                        <w:szCs w:val="21"/>
                                      </w:rPr>
                                      <w:t xml:space="preserve">Préconisation n° 5 : renforcer l’objectif environnemental dans les marchés. </w:t>
                                    </w:r>
                                  </w:p>
                                  <w:p w:rsidR="00671693" w:rsidRDefault="00671693">
                                    <w:pPr>
                                      <w:pStyle w:val="Paragraphedeliste"/>
                                      <w:spacing w:after="0" w:line="276" w:lineRule="auto"/>
                                      <w:jc w:val="both"/>
                                      <w:rPr>
                                        <w:rFonts w:ascii="Arial" w:hAnsi="Arial" w:cs="Arial"/>
                                        <w:b/>
                                        <w:bCs/>
                                        <w:color w:val="3B3838"/>
                                        <w:sz w:val="21"/>
                                        <w:szCs w:val="21"/>
                                      </w:rPr>
                                    </w:pPr>
                                  </w:p>
                                  <w:p w:rsidR="00671693" w:rsidRDefault="00671693" w:rsidP="006E285C">
                                    <w:pPr>
                                      <w:pStyle w:val="Paragraphedeliste"/>
                                      <w:numPr>
                                        <w:ilvl w:val="0"/>
                                        <w:numId w:val="1"/>
                                      </w:numPr>
                                      <w:spacing w:after="0" w:line="276" w:lineRule="auto"/>
                                      <w:jc w:val="both"/>
                                      <w:rPr>
                                        <w:rFonts w:ascii="Arial" w:hAnsi="Arial" w:cs="Arial"/>
                                        <w:b/>
                                        <w:bCs/>
                                        <w:color w:val="3B3838"/>
                                        <w:sz w:val="21"/>
                                        <w:szCs w:val="21"/>
                                      </w:rPr>
                                    </w:pPr>
                                    <w:r>
                                      <w:rPr>
                                        <w:rFonts w:ascii="Arial" w:hAnsi="Arial" w:cs="Arial"/>
                                        <w:b/>
                                        <w:bCs/>
                                        <w:color w:val="3B3838"/>
                                        <w:sz w:val="21"/>
                                        <w:szCs w:val="21"/>
                                      </w:rPr>
                                      <w:t>Préconisation n° 6 : le respect dans le temps des attentes sociales et environnementales passe par un suivi régulier de l’exécution des marchés. </w:t>
                                    </w:r>
                                    <w:r>
                                      <w:rPr>
                                        <w:rFonts w:ascii="Arial" w:hAnsi="Arial" w:cs="Arial"/>
                                        <w:color w:val="3B3838"/>
                                        <w:sz w:val="21"/>
                                        <w:szCs w:val="21"/>
                                      </w:rPr>
                                      <w:t>Des contrôles qualité réguliers doivent être régulièrement effectués, et l’acheteur doit alerter les autorités compétentes dès lors qu’il a connaissance d’un manquement.</w:t>
                                    </w:r>
                                  </w:p>
                                  <w:p w:rsidR="00671693" w:rsidRDefault="00671693">
                                    <w:pPr>
                                      <w:spacing w:line="276" w:lineRule="auto"/>
                                      <w:jc w:val="both"/>
                                      <w:rPr>
                                        <w:rFonts w:ascii="Arial" w:hAnsi="Arial" w:cs="Arial"/>
                                        <w:b/>
                                        <w:bCs/>
                                        <w:color w:val="3B3838"/>
                                        <w:sz w:val="21"/>
                                        <w:szCs w:val="21"/>
                                      </w:rPr>
                                    </w:pPr>
                                  </w:p>
                                  <w:p w:rsidR="00671693" w:rsidRDefault="00671693">
                                    <w:pPr>
                                      <w:spacing w:line="276" w:lineRule="auto"/>
                                      <w:rPr>
                                        <w:rFonts w:ascii="Arial" w:hAnsi="Arial" w:cs="Arial"/>
                                        <w:color w:val="3B3838"/>
                                        <w:sz w:val="21"/>
                                        <w:szCs w:val="21"/>
                                      </w:rPr>
                                    </w:pPr>
                                  </w:p>
                                  <w:p w:rsidR="00671693" w:rsidRDefault="00671693">
                                    <w:pPr>
                                      <w:spacing w:line="276" w:lineRule="auto"/>
                                      <w:jc w:val="both"/>
                                      <w:rPr>
                                        <w:rFonts w:ascii="Arial" w:hAnsi="Arial" w:cs="Arial"/>
                                        <w:i/>
                                        <w:iCs/>
                                        <w:color w:val="3B3838"/>
                                        <w:sz w:val="21"/>
                                        <w:szCs w:val="21"/>
                                      </w:rPr>
                                    </w:pPr>
                                    <w:r>
                                      <w:rPr>
                                        <w:rFonts w:ascii="Arial" w:hAnsi="Arial" w:cs="Arial"/>
                                        <w:b/>
                                        <w:bCs/>
                                        <w:color w:val="3B3838"/>
                                        <w:sz w:val="21"/>
                                        <w:szCs w:val="21"/>
                                      </w:rPr>
                                      <w:lastRenderedPageBreak/>
                                      <w:t>Elisabeth Borne</w:t>
                                    </w:r>
                                    <w:r>
                                      <w:rPr>
                                        <w:rFonts w:ascii="Arial" w:hAnsi="Arial" w:cs="Arial"/>
                                        <w:color w:val="3B3838"/>
                                        <w:sz w:val="21"/>
                                        <w:szCs w:val="21"/>
                                      </w:rPr>
                                      <w:t> : « </w:t>
                                    </w:r>
                                    <w:r>
                                      <w:rPr>
                                        <w:rFonts w:ascii="Arial" w:hAnsi="Arial" w:cs="Arial"/>
                                        <w:i/>
                                        <w:iCs/>
                                        <w:color w:val="3B3838"/>
                                        <w:sz w:val="21"/>
                                        <w:szCs w:val="21"/>
                                      </w:rPr>
                                      <w:t>L’Etat employeur a un rôle important à jouer dans la revalorisation des métiers de la propreté et de la sécurité privée. Cette circulaire donne désormais un cadre clair aux acheteurs publics</w:t>
                                    </w:r>
                                    <w:r>
                                      <w:rPr>
                                        <w:rFonts w:ascii="Arial" w:hAnsi="Arial" w:cs="Arial"/>
                                        <w:color w:val="3B3838"/>
                                        <w:sz w:val="21"/>
                                        <w:szCs w:val="21"/>
                                      </w:rPr>
                                      <w:t xml:space="preserve"> </w:t>
                                    </w:r>
                                    <w:r>
                                      <w:rPr>
                                        <w:rFonts w:ascii="Arial" w:hAnsi="Arial" w:cs="Arial"/>
                                        <w:i/>
                                        <w:iCs/>
                                        <w:color w:val="3B3838"/>
                                        <w:sz w:val="21"/>
                                        <w:szCs w:val="21"/>
                                      </w:rPr>
                                      <w:t>qui va permettre de tirer vers le haut les conditions de travail et de rémunération de ces secteurs. »</w:t>
                                    </w:r>
                                  </w:p>
                                  <w:p w:rsidR="00671693" w:rsidRDefault="00671693">
                                    <w:pPr>
                                      <w:spacing w:line="276" w:lineRule="auto"/>
                                      <w:jc w:val="both"/>
                                      <w:rPr>
                                        <w:rFonts w:ascii="Arial" w:hAnsi="Arial" w:cs="Arial"/>
                                        <w:i/>
                                        <w:iCs/>
                                        <w:color w:val="3B3838"/>
                                        <w:sz w:val="21"/>
                                        <w:szCs w:val="21"/>
                                      </w:rPr>
                                    </w:pPr>
                                  </w:p>
                                  <w:p w:rsidR="00671693" w:rsidRDefault="00671693">
                                    <w:pPr>
                                      <w:spacing w:line="276" w:lineRule="auto"/>
                                      <w:jc w:val="both"/>
                                      <w:rPr>
                                        <w:rFonts w:ascii="Arial" w:hAnsi="Arial" w:cs="Arial"/>
                                        <w:color w:val="3B3838"/>
                                        <w:sz w:val="21"/>
                                        <w:szCs w:val="21"/>
                                      </w:rPr>
                                    </w:pPr>
                                    <w:r>
                                      <w:rPr>
                                        <w:rFonts w:ascii="Arial" w:hAnsi="Arial" w:cs="Arial"/>
                                        <w:b/>
                                        <w:bCs/>
                                        <w:color w:val="3B3838"/>
                                        <w:sz w:val="21"/>
                                        <w:szCs w:val="21"/>
                                      </w:rPr>
                                      <w:t xml:space="preserve">Amélie de </w:t>
                                    </w:r>
                                    <w:proofErr w:type="spellStart"/>
                                    <w:r>
                                      <w:rPr>
                                        <w:rFonts w:ascii="Arial" w:hAnsi="Arial" w:cs="Arial"/>
                                        <w:b/>
                                        <w:bCs/>
                                        <w:color w:val="3B3838"/>
                                        <w:sz w:val="21"/>
                                        <w:szCs w:val="21"/>
                                      </w:rPr>
                                      <w:t>Montchalin</w:t>
                                    </w:r>
                                    <w:proofErr w:type="spellEnd"/>
                                    <w:r>
                                      <w:rPr>
                                        <w:rFonts w:ascii="Arial" w:hAnsi="Arial" w:cs="Arial"/>
                                        <w:color w:val="3B3838"/>
                                        <w:sz w:val="21"/>
                                        <w:szCs w:val="21"/>
                                      </w:rPr>
                                      <w:t> : « </w:t>
                                    </w:r>
                                    <w:r>
                                      <w:rPr>
                                        <w:rFonts w:ascii="Arial" w:hAnsi="Arial" w:cs="Arial"/>
                                        <w:i/>
                                        <w:iCs/>
                                        <w:color w:val="3B3838"/>
                                        <w:sz w:val="21"/>
                                        <w:szCs w:val="21"/>
                                      </w:rPr>
                                      <w:t>L’Etat doit veiller en continu aux conditions de travail des employés des entreprises qui exercent dans ses locaux, en matière d’entretien et de sécurité notamment. Je plaide pour des temps de travail continus, avec des prestations réalisées au moins partiellement en présence des occupants des bureaux, pour limiter également les horaires décalés tôt le matin, tard le soir</w:t>
                                    </w:r>
                                    <w:r>
                                      <w:rPr>
                                        <w:rFonts w:ascii="Arial" w:hAnsi="Arial" w:cs="Arial"/>
                                        <w:color w:val="3B3838"/>
                                        <w:sz w:val="21"/>
                                        <w:szCs w:val="21"/>
                                      </w:rPr>
                                      <w:t>. »</w:t>
                                    </w:r>
                                  </w:p>
                                  <w:p w:rsidR="00671693" w:rsidRDefault="00671693">
                                    <w:pPr>
                                      <w:spacing w:line="276" w:lineRule="auto"/>
                                      <w:jc w:val="both"/>
                                      <w:rPr>
                                        <w:rFonts w:ascii="Arial" w:hAnsi="Arial" w:cs="Arial"/>
                                        <w:color w:val="3B3838"/>
                                        <w:sz w:val="21"/>
                                        <w:szCs w:val="21"/>
                                      </w:rPr>
                                    </w:pPr>
                                  </w:p>
                                  <w:p w:rsidR="00671693" w:rsidRDefault="00671693">
                                    <w:pPr>
                                      <w:spacing w:line="276" w:lineRule="auto"/>
                                      <w:jc w:val="both"/>
                                      <w:rPr>
                                        <w:rFonts w:ascii="Arial" w:hAnsi="Arial" w:cs="Arial"/>
                                        <w:color w:val="3B3838"/>
                                        <w:sz w:val="21"/>
                                        <w:szCs w:val="21"/>
                                      </w:rPr>
                                    </w:pPr>
                                    <w:r>
                                      <w:rPr>
                                        <w:rFonts w:ascii="Arial" w:hAnsi="Arial" w:cs="Arial"/>
                                        <w:b/>
                                        <w:bCs/>
                                        <w:color w:val="3B3838"/>
                                        <w:sz w:val="21"/>
                                        <w:szCs w:val="21"/>
                                      </w:rPr>
                                      <w:t xml:space="preserve">Olivier </w:t>
                                    </w:r>
                                    <w:proofErr w:type="spellStart"/>
                                    <w:r>
                                      <w:rPr>
                                        <w:rFonts w:ascii="Arial" w:hAnsi="Arial" w:cs="Arial"/>
                                        <w:b/>
                                        <w:bCs/>
                                        <w:color w:val="3B3838"/>
                                        <w:sz w:val="21"/>
                                        <w:szCs w:val="21"/>
                                      </w:rPr>
                                      <w:t>Dussopt</w:t>
                                    </w:r>
                                    <w:proofErr w:type="spellEnd"/>
                                    <w:r>
                                      <w:rPr>
                                        <w:rFonts w:ascii="Arial" w:hAnsi="Arial" w:cs="Arial"/>
                                        <w:color w:val="3B3838"/>
                                        <w:sz w:val="21"/>
                                        <w:szCs w:val="21"/>
                                      </w:rPr>
                                      <w:t> : « </w:t>
                                    </w:r>
                                    <w:r>
                                      <w:rPr>
                                        <w:rFonts w:ascii="Arial" w:hAnsi="Arial" w:cs="Arial"/>
                                        <w:i/>
                                        <w:iCs/>
                                        <w:color w:val="3B3838"/>
                                        <w:sz w:val="21"/>
                                        <w:szCs w:val="21"/>
                                      </w:rPr>
                                      <w:t>L’Etat en tant qu’acheteur doit se montrer exemplaire dans les critères qu’il définit vis-à-vis de ses partenaires. C’est un gage de transparence indispensable afin que chaque entreprise et chaque acheteur puissent s’en saisir. C’est dans cet esprit que cette circulaire est signée et c’est dans cet esprit que nous devons continuer à travailler.</w:t>
                                    </w:r>
                                    <w:r>
                                      <w:rPr>
                                        <w:rFonts w:ascii="Arial" w:hAnsi="Arial" w:cs="Arial"/>
                                        <w:color w:val="3B3838"/>
                                        <w:sz w:val="21"/>
                                        <w:szCs w:val="21"/>
                                      </w:rPr>
                                      <w:t> »</w:t>
                                    </w:r>
                                  </w:p>
                                  <w:p w:rsidR="00671693" w:rsidRDefault="00671693">
                                    <w:pPr>
                                      <w:spacing w:line="276" w:lineRule="auto"/>
                                      <w:rPr>
                                        <w:rFonts w:ascii="Calibri" w:hAnsi="Calibri" w:cs="Calibri"/>
                                        <w:sz w:val="22"/>
                                        <w:szCs w:val="22"/>
                                      </w:rPr>
                                    </w:pPr>
                                  </w:p>
                                  <w:tbl>
                                    <w:tblPr>
                                      <w:tblpPr w:vertAnchor="text"/>
                                      <w:tblW w:w="5000" w:type="pct"/>
                                      <w:tblCellMar>
                                        <w:left w:w="0" w:type="dxa"/>
                                        <w:right w:w="0" w:type="dxa"/>
                                      </w:tblCellMar>
                                      <w:tblLook w:val="04A0" w:firstRow="1" w:lastRow="0" w:firstColumn="1" w:lastColumn="0" w:noHBand="0" w:noVBand="1"/>
                                    </w:tblPr>
                                    <w:tblGrid>
                                      <w:gridCol w:w="8213"/>
                                    </w:tblGrid>
                                    <w:tr w:rsidR="00671693">
                                      <w:tc>
                                        <w:tcPr>
                                          <w:tcW w:w="0" w:type="auto"/>
                                          <w:vAlign w:val="center"/>
                                          <w:hideMark/>
                                        </w:tcPr>
                                        <w:p w:rsidR="00671693" w:rsidRDefault="00671693">
                                          <w:pPr>
                                            <w:rPr>
                                              <w:rFonts w:ascii="Calibri" w:hAnsi="Calibri" w:cs="Calibri"/>
                                              <w:sz w:val="22"/>
                                              <w:szCs w:val="22"/>
                                            </w:rPr>
                                          </w:pPr>
                                        </w:p>
                                      </w:tc>
                                    </w:tr>
                                  </w:tbl>
                                  <w:tbl>
                                    <w:tblPr>
                                      <w:tblW w:w="0" w:type="auto"/>
                                      <w:jc w:val="center"/>
                                      <w:tblCellMar>
                                        <w:left w:w="0" w:type="dxa"/>
                                        <w:right w:w="0" w:type="dxa"/>
                                      </w:tblCellMar>
                                      <w:tblLook w:val="04A0" w:firstRow="1" w:lastRow="0" w:firstColumn="1" w:lastColumn="0" w:noHBand="0" w:noVBand="1"/>
                                    </w:tblPr>
                                    <w:tblGrid>
                                      <w:gridCol w:w="38"/>
                                    </w:tblGrid>
                                    <w:tr w:rsidR="00671693">
                                      <w:trPr>
                                        <w:trHeight w:val="150"/>
                                        <w:jc w:val="center"/>
                                      </w:trPr>
                                      <w:tc>
                                        <w:tcPr>
                                          <w:tcW w:w="0" w:type="auto"/>
                                          <w:vAlign w:val="center"/>
                                          <w:hideMark/>
                                        </w:tcPr>
                                        <w:p w:rsidR="00671693" w:rsidRDefault="00671693">
                                          <w:pPr>
                                            <w:spacing w:line="150" w:lineRule="exact"/>
                                            <w:rPr>
                                              <w:sz w:val="15"/>
                                              <w:szCs w:val="15"/>
                                            </w:rPr>
                                          </w:pPr>
                                          <w:r>
                                            <w:rPr>
                                              <w:sz w:val="15"/>
                                              <w:szCs w:val="15"/>
                                            </w:rPr>
                                            <w:t xml:space="preserve">  </w:t>
                                          </w:r>
                                        </w:p>
                                      </w:tc>
                                    </w:tr>
                                  </w:tbl>
                                  <w:p w:rsidR="00671693" w:rsidRDefault="00671693">
                                    <w:pPr>
                                      <w:jc w:val="center"/>
                                    </w:pPr>
                                  </w:p>
                                </w:tc>
                              </w:tr>
                            </w:tbl>
                            <w:p w:rsidR="00671693" w:rsidRDefault="00671693">
                              <w:pPr>
                                <w:rPr>
                                  <w:rFonts w:eastAsia="Times New Roman"/>
                                  <w:sz w:val="20"/>
                                  <w:szCs w:val="20"/>
                                </w:rPr>
                              </w:pPr>
                            </w:p>
                          </w:tc>
                        </w:tr>
                      </w:tbl>
                      <w:p w:rsidR="00671693" w:rsidRDefault="00671693">
                        <w:pPr>
                          <w:jc w:val="center"/>
                          <w:rPr>
                            <w:rFonts w:eastAsia="Times New Roman"/>
                            <w:sz w:val="20"/>
                            <w:szCs w:val="20"/>
                          </w:rPr>
                        </w:pPr>
                      </w:p>
                    </w:tc>
                  </w:tr>
                </w:tbl>
                <w:p w:rsidR="00671693" w:rsidRDefault="00671693">
                  <w:pPr>
                    <w:jc w:val="center"/>
                    <w:rPr>
                      <w:rFonts w:eastAsia="Times New Roman"/>
                      <w:sz w:val="20"/>
                      <w:szCs w:val="20"/>
                    </w:rPr>
                  </w:pPr>
                </w:p>
              </w:tc>
              <w:tc>
                <w:tcPr>
                  <w:tcW w:w="150" w:type="dxa"/>
                  <w:shd w:val="clear" w:color="auto" w:fill="FFFFFF"/>
                  <w:vAlign w:val="center"/>
                  <w:hideMark/>
                </w:tcPr>
                <w:p w:rsidR="00671693" w:rsidRDefault="00671693">
                  <w:pPr>
                    <w:rPr>
                      <w:rFonts w:eastAsia="Times New Roman"/>
                      <w:sz w:val="20"/>
                      <w:szCs w:val="20"/>
                    </w:rPr>
                  </w:pPr>
                </w:p>
              </w:tc>
            </w:tr>
          </w:tbl>
          <w:p w:rsidR="00671693" w:rsidRDefault="00671693">
            <w:pPr>
              <w:rPr>
                <w:rFonts w:eastAsia="Times New Roman"/>
                <w:sz w:val="20"/>
                <w:szCs w:val="20"/>
              </w:rPr>
            </w:pPr>
          </w:p>
        </w:tc>
      </w:tr>
    </w:tbl>
    <w:p w:rsidR="00671693" w:rsidRDefault="00671693" w:rsidP="00671693"/>
    <w:tbl>
      <w:tblPr>
        <w:tblW w:w="5000" w:type="pct"/>
        <w:tblCellMar>
          <w:left w:w="0" w:type="dxa"/>
          <w:right w:w="0" w:type="dxa"/>
        </w:tblCellMar>
        <w:tblLook w:val="04A0" w:firstRow="1" w:lastRow="0" w:firstColumn="1" w:lastColumn="0" w:noHBand="0" w:noVBand="1"/>
      </w:tblPr>
      <w:tblGrid>
        <w:gridCol w:w="9072"/>
      </w:tblGrid>
      <w:tr w:rsidR="00671693" w:rsidTr="00671693">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7"/>
              <w:gridCol w:w="123"/>
            </w:tblGrid>
            <w:tr w:rsidR="00671693">
              <w:tc>
                <w:tcPr>
                  <w:tcW w:w="150" w:type="dxa"/>
                  <w:shd w:val="clear" w:color="auto" w:fill="FFFFFF"/>
                  <w:vAlign w:val="center"/>
                  <w:hideMark/>
                </w:tcPr>
                <w:p w:rsidR="00671693" w:rsidRDefault="00671693"/>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7"/>
                  </w:tblGrid>
                  <w:tr w:rsidR="0067169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527"/>
                          <w:gridCol w:w="3300"/>
                        </w:tblGrid>
                        <w:tr w:rsidR="00671693">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5527"/>
                              </w:tblGrid>
                              <w:tr w:rsidR="0067169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927"/>
                                    </w:tblGrid>
                                    <w:tr w:rsidR="00671693">
                                      <w:tc>
                                        <w:tcPr>
                                          <w:tcW w:w="0" w:type="auto"/>
                                          <w:vAlign w:val="center"/>
                                          <w:hideMark/>
                                        </w:tcPr>
                                        <w:p w:rsidR="00671693" w:rsidRDefault="00671693">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Ministère du Travail, de l'Emploi et de l'Insertion</w:t>
                                          </w:r>
                                          <w:r>
                                            <w:rPr>
                                              <w:rFonts w:ascii="Arial" w:hAnsi="Arial" w:cs="Arial"/>
                                              <w:b/>
                                              <w:bCs/>
                                              <w:color w:val="000000"/>
                                              <w:sz w:val="18"/>
                                              <w:szCs w:val="18"/>
                                            </w:rPr>
                                            <w:br/>
                                          </w:r>
                                          <w:r>
                                            <w:rPr>
                                              <w:rStyle w:val="lev"/>
                                              <w:rFonts w:ascii="Arial" w:hAnsi="Arial" w:cs="Arial"/>
                                              <w:color w:val="000000"/>
                                              <w:sz w:val="18"/>
                                              <w:szCs w:val="18"/>
                                            </w:rPr>
                                            <w:t>Cabinet de Mme Elisabeth Borne</w:t>
                                          </w:r>
                                        </w:p>
                                        <w:p w:rsidR="00671693" w:rsidRDefault="0067169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Tél : 01 49 55 32 21</w:t>
                                          </w:r>
                                        </w:p>
                                        <w:p w:rsidR="00671693" w:rsidRDefault="0067169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Mél : </w:t>
                                          </w:r>
                                          <w:hyperlink r:id="rId6" w:tgtFrame="_blank" w:history="1">
                                            <w:r>
                                              <w:rPr>
                                                <w:rStyle w:val="Lienhypertexte"/>
                                                <w:rFonts w:ascii="Arial" w:hAnsi="Arial" w:cs="Arial"/>
                                                <w:color w:val="0595D6"/>
                                                <w:sz w:val="18"/>
                                                <w:szCs w:val="18"/>
                                              </w:rPr>
                                              <w:t>sec.presse.travail@cab.travail.gouv.fr</w:t>
                                            </w:r>
                                          </w:hyperlink>
                                        </w:p>
                                      </w:tc>
                                    </w:tr>
                                  </w:tbl>
                                  <w:p w:rsidR="00671693" w:rsidRDefault="00671693">
                                    <w:pPr>
                                      <w:rPr>
                                        <w:rFonts w:eastAsia="Times New Roman"/>
                                        <w:sz w:val="20"/>
                                        <w:szCs w:val="20"/>
                                      </w:rPr>
                                    </w:pPr>
                                  </w:p>
                                </w:tc>
                              </w:tr>
                            </w:tbl>
                            <w:p w:rsidR="00671693" w:rsidRDefault="00671693">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300"/>
                              </w:tblGrid>
                              <w:tr w:rsidR="00671693">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35"/>
                                    </w:tblGrid>
                                    <w:tr w:rsidR="00671693">
                                      <w:trPr>
                                        <w:trHeight w:val="540"/>
                                        <w:jc w:val="center"/>
                                      </w:trPr>
                                      <w:tc>
                                        <w:tcPr>
                                          <w:tcW w:w="0" w:type="auto"/>
                                          <w:vAlign w:val="center"/>
                                          <w:hideMark/>
                                        </w:tcPr>
                                        <w:p w:rsidR="00671693" w:rsidRDefault="00671693">
                                          <w:pPr>
                                            <w:spacing w:line="540" w:lineRule="exact"/>
                                            <w:rPr>
                                              <w:sz w:val="54"/>
                                              <w:szCs w:val="54"/>
                                            </w:rPr>
                                          </w:pPr>
                                          <w:r>
                                            <w:rPr>
                                              <w:sz w:val="54"/>
                                              <w:szCs w:val="54"/>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2700"/>
                                    </w:tblGrid>
                                    <w:tr w:rsidR="00671693">
                                      <w:tc>
                                        <w:tcPr>
                                          <w:tcW w:w="0" w:type="auto"/>
                                          <w:vAlign w:val="center"/>
                                          <w:hideMark/>
                                        </w:tcPr>
                                        <w:p w:rsidR="00671693" w:rsidRDefault="00671693">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127, rue de Grenelle</w:t>
                                          </w:r>
                                        </w:p>
                                        <w:p w:rsidR="00671693" w:rsidRDefault="00671693">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75007, Paris</w:t>
                                          </w:r>
                                        </w:p>
                                      </w:tc>
                                    </w:tr>
                                  </w:tbl>
                                  <w:p w:rsidR="00671693" w:rsidRDefault="00671693">
                                    <w:pPr>
                                      <w:rPr>
                                        <w:rFonts w:eastAsia="Times New Roman"/>
                                        <w:sz w:val="20"/>
                                        <w:szCs w:val="20"/>
                                      </w:rPr>
                                    </w:pPr>
                                  </w:p>
                                </w:tc>
                              </w:tr>
                            </w:tbl>
                            <w:p w:rsidR="00671693" w:rsidRDefault="00671693">
                              <w:pPr>
                                <w:rPr>
                                  <w:rFonts w:eastAsia="Times New Roman"/>
                                  <w:sz w:val="20"/>
                                  <w:szCs w:val="20"/>
                                </w:rPr>
                              </w:pPr>
                            </w:p>
                          </w:tc>
                        </w:tr>
                      </w:tbl>
                      <w:p w:rsidR="00671693" w:rsidRDefault="00671693">
                        <w:pPr>
                          <w:jc w:val="center"/>
                          <w:rPr>
                            <w:rFonts w:eastAsia="Times New Roman"/>
                            <w:sz w:val="20"/>
                            <w:szCs w:val="20"/>
                          </w:rPr>
                        </w:pPr>
                      </w:p>
                    </w:tc>
                  </w:tr>
                </w:tbl>
                <w:p w:rsidR="00671693" w:rsidRDefault="00671693">
                  <w:pPr>
                    <w:jc w:val="center"/>
                    <w:rPr>
                      <w:rFonts w:eastAsia="Times New Roman"/>
                      <w:sz w:val="20"/>
                      <w:szCs w:val="20"/>
                    </w:rPr>
                  </w:pPr>
                </w:p>
              </w:tc>
              <w:tc>
                <w:tcPr>
                  <w:tcW w:w="150" w:type="dxa"/>
                  <w:shd w:val="clear" w:color="auto" w:fill="FFFFFF"/>
                  <w:vAlign w:val="center"/>
                  <w:hideMark/>
                </w:tcPr>
                <w:p w:rsidR="00671693" w:rsidRDefault="00671693">
                  <w:pPr>
                    <w:rPr>
                      <w:rFonts w:eastAsia="Times New Roman"/>
                      <w:sz w:val="20"/>
                      <w:szCs w:val="20"/>
                    </w:rPr>
                  </w:pPr>
                </w:p>
              </w:tc>
            </w:tr>
          </w:tbl>
          <w:p w:rsidR="00671693" w:rsidRDefault="00671693">
            <w:pPr>
              <w:rPr>
                <w:rFonts w:eastAsia="Times New Roman"/>
                <w:sz w:val="20"/>
                <w:szCs w:val="20"/>
              </w:rPr>
            </w:pPr>
          </w:p>
        </w:tc>
      </w:tr>
      <w:tr w:rsidR="00671693" w:rsidTr="00671693">
        <w:tc>
          <w:tcPr>
            <w:tcW w:w="0" w:type="auto"/>
            <w:vAlign w:val="center"/>
            <w:hideMark/>
          </w:tcPr>
          <w:tbl>
            <w:tblPr>
              <w:tblW w:w="0" w:type="auto"/>
              <w:tblCellMar>
                <w:left w:w="0" w:type="dxa"/>
                <w:right w:w="0" w:type="dxa"/>
              </w:tblCellMar>
              <w:tblLook w:val="04A0" w:firstRow="1" w:lastRow="0" w:firstColumn="1" w:lastColumn="0" w:noHBand="0" w:noVBand="1"/>
            </w:tblPr>
            <w:tblGrid>
              <w:gridCol w:w="121"/>
              <w:gridCol w:w="8830"/>
              <w:gridCol w:w="121"/>
            </w:tblGrid>
            <w:tr w:rsidR="00671693">
              <w:tc>
                <w:tcPr>
                  <w:tcW w:w="150" w:type="dxa"/>
                  <w:shd w:val="clear" w:color="auto" w:fill="FFFFFF"/>
                  <w:vAlign w:val="center"/>
                  <w:hideMark/>
                </w:tcPr>
                <w:p w:rsidR="00671693" w:rsidRDefault="00671693">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30"/>
                  </w:tblGrid>
                  <w:tr w:rsidR="0067169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529"/>
                          <w:gridCol w:w="3301"/>
                        </w:tblGrid>
                        <w:tr w:rsidR="00671693">
                          <w:trPr>
                            <w:jc w:val="center"/>
                          </w:trPr>
                          <w:tc>
                            <w:tcPr>
                              <w:tcW w:w="3131" w:type="pct"/>
                              <w:hideMark/>
                            </w:tcPr>
                            <w:tbl>
                              <w:tblPr>
                                <w:tblW w:w="5000" w:type="pct"/>
                                <w:tblCellMar>
                                  <w:left w:w="0" w:type="dxa"/>
                                  <w:right w:w="0" w:type="dxa"/>
                                </w:tblCellMar>
                                <w:tblLook w:val="04A0" w:firstRow="1" w:lastRow="0" w:firstColumn="1" w:lastColumn="0" w:noHBand="0" w:noVBand="1"/>
                              </w:tblPr>
                              <w:tblGrid>
                                <w:gridCol w:w="5529"/>
                              </w:tblGrid>
                              <w:tr w:rsidR="0067169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929"/>
                                    </w:tblGrid>
                                    <w:tr w:rsidR="00671693">
                                      <w:tc>
                                        <w:tcPr>
                                          <w:tcW w:w="0" w:type="auto"/>
                                          <w:vAlign w:val="center"/>
                                          <w:hideMark/>
                                        </w:tcPr>
                                        <w:p w:rsidR="00671693" w:rsidRDefault="00671693">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Ministère de la Transformation et de la Fonction publiques</w:t>
                                          </w:r>
                                          <w:r>
                                            <w:rPr>
                                              <w:rFonts w:ascii="Arial" w:hAnsi="Arial" w:cs="Arial"/>
                                              <w:color w:val="393939"/>
                                              <w:sz w:val="18"/>
                                              <w:szCs w:val="18"/>
                                            </w:rPr>
                                            <w:br/>
                                          </w:r>
                                          <w:r>
                                            <w:rPr>
                                              <w:rStyle w:val="lev"/>
                                              <w:rFonts w:ascii="Arial" w:hAnsi="Arial" w:cs="Arial"/>
                                              <w:color w:val="393939"/>
                                              <w:sz w:val="18"/>
                                              <w:szCs w:val="18"/>
                                            </w:rPr>
                                            <w:t xml:space="preserve">Cabinet de Mme Amélie de </w:t>
                                          </w:r>
                                          <w:proofErr w:type="spellStart"/>
                                          <w:r>
                                            <w:rPr>
                                              <w:rStyle w:val="lev"/>
                                              <w:rFonts w:ascii="Arial" w:hAnsi="Arial" w:cs="Arial"/>
                                              <w:color w:val="393939"/>
                                              <w:sz w:val="18"/>
                                              <w:szCs w:val="18"/>
                                            </w:rPr>
                                            <w:t>Montchalin</w:t>
                                          </w:r>
                                          <w:proofErr w:type="spellEnd"/>
                                        </w:p>
                                        <w:p w:rsidR="00671693" w:rsidRDefault="00671693">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Tél :</w:t>
                                          </w:r>
                                          <w:r>
                                            <w:t xml:space="preserve"> </w:t>
                                          </w:r>
                                          <w:r>
                                            <w:rPr>
                                              <w:rStyle w:val="lev"/>
                                              <w:rFonts w:ascii="Arial" w:hAnsi="Arial" w:cs="Arial"/>
                                              <w:color w:val="393939"/>
                                              <w:sz w:val="18"/>
                                              <w:szCs w:val="18"/>
                                            </w:rPr>
                                            <w:t>01 40 04 04 04</w:t>
                                          </w:r>
                                        </w:p>
                                        <w:p w:rsidR="00671693" w:rsidRDefault="00671693">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Mél : </w:t>
                                          </w:r>
                                          <w:hyperlink r:id="rId7" w:history="1">
                                            <w:r>
                                              <w:rPr>
                                                <w:rStyle w:val="Lienhypertexte"/>
                                                <w:rFonts w:ascii="Arial" w:hAnsi="Arial" w:cs="Arial"/>
                                                <w:sz w:val="18"/>
                                                <w:szCs w:val="18"/>
                                              </w:rPr>
                                              <w:t>presse.mtfp@transformation.gouv.fr</w:t>
                                            </w:r>
                                          </w:hyperlink>
                                          <w:r>
                                            <w:rPr>
                                              <w:rStyle w:val="lev"/>
                                              <w:rFonts w:ascii="Arial" w:hAnsi="Arial" w:cs="Arial"/>
                                              <w:color w:val="393939"/>
                                              <w:sz w:val="18"/>
                                              <w:szCs w:val="18"/>
                                            </w:rPr>
                                            <w:t xml:space="preserve"> </w:t>
                                          </w:r>
                                        </w:p>
                                      </w:tc>
                                    </w:tr>
                                  </w:tbl>
                                  <w:p w:rsidR="00671693" w:rsidRDefault="00671693">
                                    <w:pPr>
                                      <w:rPr>
                                        <w:rFonts w:eastAsia="Times New Roman"/>
                                        <w:sz w:val="20"/>
                                        <w:szCs w:val="20"/>
                                      </w:rPr>
                                    </w:pPr>
                                  </w:p>
                                </w:tc>
                              </w:tr>
                            </w:tbl>
                            <w:p w:rsidR="00671693" w:rsidRDefault="00671693">
                              <w:pPr>
                                <w:rPr>
                                  <w:rFonts w:eastAsia="Times New Roman"/>
                                  <w:sz w:val="20"/>
                                  <w:szCs w:val="20"/>
                                </w:rPr>
                              </w:pPr>
                            </w:p>
                          </w:tc>
                          <w:tc>
                            <w:tcPr>
                              <w:tcW w:w="1869" w:type="pct"/>
                              <w:hideMark/>
                            </w:tcPr>
                            <w:tbl>
                              <w:tblPr>
                                <w:tblW w:w="5000" w:type="pct"/>
                                <w:tblCellMar>
                                  <w:left w:w="0" w:type="dxa"/>
                                  <w:right w:w="0" w:type="dxa"/>
                                </w:tblCellMar>
                                <w:tblLook w:val="04A0" w:firstRow="1" w:lastRow="0" w:firstColumn="1" w:lastColumn="0" w:noHBand="0" w:noVBand="1"/>
                              </w:tblPr>
                              <w:tblGrid>
                                <w:gridCol w:w="3301"/>
                              </w:tblGrid>
                              <w:tr w:rsidR="00671693">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58"/>
                                    </w:tblGrid>
                                    <w:tr w:rsidR="00671693">
                                      <w:trPr>
                                        <w:trHeight w:val="630"/>
                                        <w:jc w:val="center"/>
                                      </w:trPr>
                                      <w:tc>
                                        <w:tcPr>
                                          <w:tcW w:w="0" w:type="auto"/>
                                          <w:vAlign w:val="center"/>
                                          <w:hideMark/>
                                        </w:tcPr>
                                        <w:p w:rsidR="00671693" w:rsidRDefault="00671693">
                                          <w:pPr>
                                            <w:spacing w:line="630" w:lineRule="exact"/>
                                            <w:rPr>
                                              <w:sz w:val="63"/>
                                              <w:szCs w:val="63"/>
                                            </w:rPr>
                                          </w:pPr>
                                          <w:r>
                                            <w:rPr>
                                              <w:sz w:val="63"/>
                                              <w:szCs w:val="63"/>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2701"/>
                                    </w:tblGrid>
                                    <w:tr w:rsidR="00671693">
                                      <w:tc>
                                        <w:tcPr>
                                          <w:tcW w:w="0" w:type="auto"/>
                                          <w:vAlign w:val="center"/>
                                          <w:hideMark/>
                                        </w:tcPr>
                                        <w:p w:rsidR="00671693" w:rsidRDefault="00671693">
                                          <w:pPr>
                                            <w:pStyle w:val="NormalWeb"/>
                                            <w:spacing w:line="330" w:lineRule="exact"/>
                                            <w:jc w:val="right"/>
                                            <w:rPr>
                                              <w:rFonts w:ascii="Arial" w:hAnsi="Arial" w:cs="Arial"/>
                                              <w:color w:val="000000"/>
                                              <w:sz w:val="18"/>
                                              <w:szCs w:val="18"/>
                                            </w:rPr>
                                          </w:pPr>
                                          <w:r>
                                            <w:rPr>
                                              <w:rFonts w:ascii="Arial" w:hAnsi="Arial" w:cs="Arial"/>
                                              <w:color w:val="000000"/>
                                              <w:sz w:val="18"/>
                                              <w:szCs w:val="18"/>
                                            </w:rPr>
                                            <w:t>101 rue de Grenelle,</w:t>
                                          </w:r>
                                          <w:r>
                                            <w:rPr>
                                              <w:rFonts w:ascii="Arial" w:hAnsi="Arial" w:cs="Arial"/>
                                              <w:color w:val="000000"/>
                                              <w:sz w:val="18"/>
                                              <w:szCs w:val="18"/>
                                            </w:rPr>
                                            <w:br/>
                                            <w:t>75007, Paris</w:t>
                                          </w:r>
                                        </w:p>
                                      </w:tc>
                                    </w:tr>
                                  </w:tbl>
                                  <w:p w:rsidR="00671693" w:rsidRDefault="00671693">
                                    <w:pPr>
                                      <w:rPr>
                                        <w:rFonts w:eastAsia="Times New Roman"/>
                                        <w:sz w:val="20"/>
                                        <w:szCs w:val="20"/>
                                      </w:rPr>
                                    </w:pPr>
                                  </w:p>
                                </w:tc>
                              </w:tr>
                            </w:tbl>
                            <w:p w:rsidR="00671693" w:rsidRDefault="00671693">
                              <w:pPr>
                                <w:rPr>
                                  <w:rFonts w:eastAsia="Times New Roman"/>
                                  <w:sz w:val="20"/>
                                  <w:szCs w:val="20"/>
                                </w:rPr>
                              </w:pPr>
                            </w:p>
                          </w:tc>
                        </w:tr>
                        <w:tr w:rsidR="00671693">
                          <w:trPr>
                            <w:jc w:val="center"/>
                          </w:trPr>
                          <w:tc>
                            <w:tcPr>
                              <w:tcW w:w="3131" w:type="pct"/>
                              <w:hideMark/>
                            </w:tcPr>
                            <w:tbl>
                              <w:tblPr>
                                <w:tblW w:w="5000" w:type="pct"/>
                                <w:tblCellMar>
                                  <w:left w:w="0" w:type="dxa"/>
                                  <w:right w:w="0" w:type="dxa"/>
                                </w:tblCellMar>
                                <w:tblLook w:val="04A0" w:firstRow="1" w:lastRow="0" w:firstColumn="1" w:lastColumn="0" w:noHBand="0" w:noVBand="1"/>
                              </w:tblPr>
                              <w:tblGrid>
                                <w:gridCol w:w="5529"/>
                              </w:tblGrid>
                              <w:tr w:rsidR="0067169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929"/>
                                    </w:tblGrid>
                                    <w:tr w:rsidR="00671693">
                                      <w:tc>
                                        <w:tcPr>
                                          <w:tcW w:w="0" w:type="auto"/>
                                          <w:vAlign w:val="center"/>
                                          <w:hideMark/>
                                        </w:tcPr>
                                        <w:p w:rsidR="00671693" w:rsidRDefault="00671693">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Ministère de de l'Économie, des Finances et de la Relance</w:t>
                                          </w:r>
                                          <w:r>
                                            <w:rPr>
                                              <w:rFonts w:ascii="Arial" w:hAnsi="Arial" w:cs="Arial"/>
                                              <w:color w:val="393939"/>
                                              <w:sz w:val="18"/>
                                              <w:szCs w:val="18"/>
                                            </w:rPr>
                                            <w:br/>
                                          </w:r>
                                          <w:r>
                                            <w:rPr>
                                              <w:rStyle w:val="lev"/>
                                              <w:rFonts w:ascii="Arial" w:hAnsi="Arial" w:cs="Arial"/>
                                              <w:color w:val="393939"/>
                                              <w:sz w:val="18"/>
                                              <w:szCs w:val="18"/>
                                            </w:rPr>
                                            <w:t xml:space="preserve">Cabinet de M. Olivier </w:t>
                                          </w:r>
                                          <w:proofErr w:type="spellStart"/>
                                          <w:r>
                                            <w:rPr>
                                              <w:rStyle w:val="lev"/>
                                              <w:rFonts w:ascii="Arial" w:hAnsi="Arial" w:cs="Arial"/>
                                              <w:color w:val="393939"/>
                                              <w:sz w:val="18"/>
                                              <w:szCs w:val="18"/>
                                            </w:rPr>
                                            <w:t>Dussopt</w:t>
                                          </w:r>
                                          <w:proofErr w:type="spellEnd"/>
                                        </w:p>
                                        <w:p w:rsidR="00671693" w:rsidRDefault="00671693">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Tél :</w:t>
                                          </w:r>
                                          <w:r>
                                            <w:t xml:space="preserve"> </w:t>
                                          </w:r>
                                          <w:r>
                                            <w:rPr>
                                              <w:rStyle w:val="lev"/>
                                              <w:rFonts w:ascii="Arial" w:hAnsi="Arial" w:cs="Arial"/>
                                              <w:color w:val="393939"/>
                                              <w:sz w:val="18"/>
                                              <w:szCs w:val="18"/>
                                            </w:rPr>
                                            <w:t>01 40 04 04 04</w:t>
                                          </w:r>
                                        </w:p>
                                        <w:p w:rsidR="00671693" w:rsidRDefault="00671693">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Mél : </w:t>
                                          </w:r>
                                          <w:hyperlink r:id="rId8" w:history="1">
                                            <w:r>
                                              <w:rPr>
                                                <w:rStyle w:val="Lienhypertexte"/>
                                                <w:rFonts w:ascii="Arial" w:hAnsi="Arial" w:cs="Arial"/>
                                                <w:sz w:val="18"/>
                                                <w:szCs w:val="18"/>
                                              </w:rPr>
                                              <w:t>presse.mcp@cabinets.finances.gouv.fr</w:t>
                                            </w:r>
                                          </w:hyperlink>
                                          <w:r>
                                            <w:rPr>
                                              <w:rStyle w:val="lev"/>
                                              <w:rFonts w:ascii="Arial" w:hAnsi="Arial" w:cs="Arial"/>
                                              <w:color w:val="393939"/>
                                              <w:sz w:val="18"/>
                                              <w:szCs w:val="18"/>
                                            </w:rPr>
                                            <w:t xml:space="preserve"> </w:t>
                                          </w:r>
                                        </w:p>
                                      </w:tc>
                                    </w:tr>
                                  </w:tbl>
                                  <w:p w:rsidR="00671693" w:rsidRDefault="00671693">
                                    <w:pPr>
                                      <w:rPr>
                                        <w:rFonts w:eastAsia="Times New Roman"/>
                                        <w:sz w:val="20"/>
                                        <w:szCs w:val="20"/>
                                      </w:rPr>
                                    </w:pPr>
                                  </w:p>
                                </w:tc>
                              </w:tr>
                            </w:tbl>
                            <w:p w:rsidR="00671693" w:rsidRDefault="00671693">
                              <w:pPr>
                                <w:rPr>
                                  <w:rFonts w:eastAsia="Times New Roman"/>
                                  <w:sz w:val="20"/>
                                  <w:szCs w:val="20"/>
                                </w:rPr>
                              </w:pPr>
                            </w:p>
                          </w:tc>
                          <w:tc>
                            <w:tcPr>
                              <w:tcW w:w="1869" w:type="pct"/>
                              <w:hideMark/>
                            </w:tcPr>
                            <w:tbl>
                              <w:tblPr>
                                <w:tblW w:w="5000" w:type="pct"/>
                                <w:tblCellMar>
                                  <w:left w:w="0" w:type="dxa"/>
                                  <w:right w:w="0" w:type="dxa"/>
                                </w:tblCellMar>
                                <w:tblLook w:val="04A0" w:firstRow="1" w:lastRow="0" w:firstColumn="1" w:lastColumn="0" w:noHBand="0" w:noVBand="1"/>
                              </w:tblPr>
                              <w:tblGrid>
                                <w:gridCol w:w="3301"/>
                              </w:tblGrid>
                              <w:tr w:rsidR="00671693">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58"/>
                                    </w:tblGrid>
                                    <w:tr w:rsidR="00671693">
                                      <w:trPr>
                                        <w:trHeight w:val="630"/>
                                        <w:jc w:val="center"/>
                                      </w:trPr>
                                      <w:tc>
                                        <w:tcPr>
                                          <w:tcW w:w="0" w:type="auto"/>
                                          <w:vAlign w:val="center"/>
                                          <w:hideMark/>
                                        </w:tcPr>
                                        <w:p w:rsidR="00671693" w:rsidRDefault="00671693">
                                          <w:pPr>
                                            <w:spacing w:line="630" w:lineRule="exact"/>
                                            <w:rPr>
                                              <w:sz w:val="63"/>
                                              <w:szCs w:val="63"/>
                                            </w:rPr>
                                          </w:pPr>
                                          <w:r>
                                            <w:rPr>
                                              <w:sz w:val="63"/>
                                              <w:szCs w:val="63"/>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2701"/>
                                    </w:tblGrid>
                                    <w:tr w:rsidR="00671693">
                                      <w:tc>
                                        <w:tcPr>
                                          <w:tcW w:w="0" w:type="auto"/>
                                          <w:vAlign w:val="center"/>
                                          <w:hideMark/>
                                        </w:tcPr>
                                        <w:p w:rsidR="00671693" w:rsidRDefault="00671693">
                                          <w:pPr>
                                            <w:pStyle w:val="NormalWeb"/>
                                            <w:spacing w:line="330" w:lineRule="exact"/>
                                            <w:jc w:val="right"/>
                                            <w:rPr>
                                              <w:rFonts w:ascii="Arial" w:hAnsi="Arial" w:cs="Arial"/>
                                              <w:color w:val="000000"/>
                                              <w:sz w:val="18"/>
                                              <w:szCs w:val="18"/>
                                            </w:rPr>
                                          </w:pPr>
                                          <w:r>
                                            <w:rPr>
                                              <w:rFonts w:ascii="Arial" w:hAnsi="Arial" w:cs="Arial"/>
                                              <w:color w:val="000000"/>
                                              <w:sz w:val="18"/>
                                              <w:szCs w:val="18"/>
                                            </w:rPr>
                                            <w:t>139 rue de Bercy,</w:t>
                                          </w:r>
                                          <w:r>
                                            <w:rPr>
                                              <w:rFonts w:ascii="Arial" w:hAnsi="Arial" w:cs="Arial"/>
                                              <w:color w:val="000000"/>
                                              <w:sz w:val="18"/>
                                              <w:szCs w:val="18"/>
                                            </w:rPr>
                                            <w:br/>
                                            <w:t>75012 Paris</w:t>
                                          </w:r>
                                        </w:p>
                                      </w:tc>
                                    </w:tr>
                                  </w:tbl>
                                  <w:p w:rsidR="00671693" w:rsidRDefault="00671693">
                                    <w:pPr>
                                      <w:rPr>
                                        <w:rFonts w:eastAsia="Times New Roman"/>
                                        <w:sz w:val="20"/>
                                        <w:szCs w:val="20"/>
                                      </w:rPr>
                                    </w:pPr>
                                  </w:p>
                                </w:tc>
                              </w:tr>
                            </w:tbl>
                            <w:p w:rsidR="00671693" w:rsidRDefault="00671693">
                              <w:pPr>
                                <w:rPr>
                                  <w:rFonts w:eastAsia="Times New Roman"/>
                                  <w:sz w:val="20"/>
                                  <w:szCs w:val="20"/>
                                </w:rPr>
                              </w:pPr>
                            </w:p>
                          </w:tc>
                        </w:tr>
                      </w:tbl>
                      <w:p w:rsidR="00671693" w:rsidRDefault="00671693">
                        <w:pPr>
                          <w:jc w:val="center"/>
                          <w:rPr>
                            <w:rFonts w:eastAsia="Times New Roman"/>
                            <w:sz w:val="20"/>
                            <w:szCs w:val="20"/>
                          </w:rPr>
                        </w:pPr>
                      </w:p>
                    </w:tc>
                  </w:tr>
                </w:tbl>
                <w:p w:rsidR="00671693" w:rsidRDefault="00671693">
                  <w:pPr>
                    <w:jc w:val="center"/>
                    <w:rPr>
                      <w:rFonts w:eastAsia="Times New Roman"/>
                      <w:sz w:val="20"/>
                      <w:szCs w:val="20"/>
                    </w:rPr>
                  </w:pPr>
                </w:p>
              </w:tc>
              <w:tc>
                <w:tcPr>
                  <w:tcW w:w="150" w:type="dxa"/>
                  <w:shd w:val="clear" w:color="auto" w:fill="FFFFFF"/>
                  <w:vAlign w:val="center"/>
                  <w:hideMark/>
                </w:tcPr>
                <w:p w:rsidR="00671693" w:rsidRDefault="00671693">
                  <w:pPr>
                    <w:rPr>
                      <w:rFonts w:eastAsia="Times New Roman"/>
                      <w:sz w:val="20"/>
                      <w:szCs w:val="20"/>
                    </w:rPr>
                  </w:pPr>
                </w:p>
              </w:tc>
            </w:tr>
          </w:tbl>
          <w:p w:rsidR="00671693" w:rsidRDefault="00671693">
            <w:pPr>
              <w:rPr>
                <w:rFonts w:eastAsia="Times New Roman"/>
                <w:sz w:val="20"/>
                <w:szCs w:val="20"/>
              </w:rPr>
            </w:pPr>
          </w:p>
        </w:tc>
      </w:tr>
    </w:tbl>
    <w:p w:rsidR="00671693" w:rsidRDefault="00671693" w:rsidP="00671693"/>
    <w:tbl>
      <w:tblPr>
        <w:tblW w:w="5000" w:type="pct"/>
        <w:tblCellMar>
          <w:left w:w="0" w:type="dxa"/>
          <w:right w:w="0" w:type="dxa"/>
        </w:tblCellMar>
        <w:tblLook w:val="04A0" w:firstRow="1" w:lastRow="0" w:firstColumn="1" w:lastColumn="0" w:noHBand="0" w:noVBand="1"/>
      </w:tblPr>
      <w:tblGrid>
        <w:gridCol w:w="9072"/>
      </w:tblGrid>
      <w:tr w:rsidR="00671693" w:rsidTr="00671693">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671693">
              <w:tc>
                <w:tcPr>
                  <w:tcW w:w="150" w:type="dxa"/>
                  <w:shd w:val="clear" w:color="auto" w:fill="FFFFFF"/>
                  <w:vAlign w:val="center"/>
                  <w:hideMark/>
                </w:tcPr>
                <w:p w:rsidR="00671693" w:rsidRDefault="00671693"/>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67169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67169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67169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671693">
                                      <w:tc>
                                        <w:tcPr>
                                          <w:tcW w:w="0" w:type="auto"/>
                                          <w:vAlign w:val="center"/>
                                          <w:hideMark/>
                                        </w:tcPr>
                                        <w:p w:rsidR="00671693" w:rsidRDefault="00671693">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9"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671693" w:rsidRDefault="00671693">
                                    <w:pPr>
                                      <w:rPr>
                                        <w:rFonts w:eastAsia="Times New Roman"/>
                                        <w:sz w:val="20"/>
                                        <w:szCs w:val="20"/>
                                      </w:rPr>
                                    </w:pPr>
                                  </w:p>
                                </w:tc>
                              </w:tr>
                            </w:tbl>
                            <w:p w:rsidR="00671693" w:rsidRDefault="00671693">
                              <w:pPr>
                                <w:rPr>
                                  <w:rFonts w:eastAsia="Times New Roman"/>
                                  <w:sz w:val="20"/>
                                  <w:szCs w:val="20"/>
                                </w:rPr>
                              </w:pPr>
                            </w:p>
                          </w:tc>
                        </w:tr>
                      </w:tbl>
                      <w:p w:rsidR="00671693" w:rsidRDefault="00671693">
                        <w:pPr>
                          <w:jc w:val="center"/>
                          <w:rPr>
                            <w:rFonts w:eastAsia="Times New Roman"/>
                            <w:sz w:val="20"/>
                            <w:szCs w:val="20"/>
                          </w:rPr>
                        </w:pPr>
                      </w:p>
                    </w:tc>
                  </w:tr>
                </w:tbl>
                <w:p w:rsidR="00671693" w:rsidRDefault="00671693">
                  <w:pPr>
                    <w:jc w:val="center"/>
                    <w:rPr>
                      <w:rFonts w:eastAsia="Times New Roman"/>
                      <w:sz w:val="20"/>
                      <w:szCs w:val="20"/>
                    </w:rPr>
                  </w:pPr>
                </w:p>
              </w:tc>
              <w:tc>
                <w:tcPr>
                  <w:tcW w:w="150" w:type="dxa"/>
                  <w:shd w:val="clear" w:color="auto" w:fill="FFFFFF"/>
                  <w:vAlign w:val="center"/>
                  <w:hideMark/>
                </w:tcPr>
                <w:p w:rsidR="00671693" w:rsidRDefault="00671693">
                  <w:pPr>
                    <w:rPr>
                      <w:rFonts w:eastAsia="Times New Roman"/>
                      <w:sz w:val="20"/>
                      <w:szCs w:val="20"/>
                    </w:rPr>
                  </w:pPr>
                </w:p>
              </w:tc>
            </w:tr>
          </w:tbl>
          <w:p w:rsidR="00671693" w:rsidRDefault="00671693">
            <w:pPr>
              <w:rPr>
                <w:vanish/>
              </w:rPr>
            </w:pPr>
          </w:p>
          <w:tbl>
            <w:tblPr>
              <w:tblW w:w="5000" w:type="pct"/>
              <w:tblCellMar>
                <w:left w:w="0" w:type="dxa"/>
                <w:right w:w="0" w:type="dxa"/>
              </w:tblCellMar>
              <w:tblLook w:val="04A0" w:firstRow="1" w:lastRow="0" w:firstColumn="1" w:lastColumn="0" w:noHBand="0" w:noVBand="1"/>
            </w:tblPr>
            <w:tblGrid>
              <w:gridCol w:w="9072"/>
            </w:tblGrid>
            <w:tr w:rsidR="00671693">
              <w:trPr>
                <w:trHeight w:val="150"/>
              </w:trPr>
              <w:tc>
                <w:tcPr>
                  <w:tcW w:w="9750" w:type="dxa"/>
                  <w:shd w:val="clear" w:color="auto" w:fill="FFFFFF"/>
                  <w:tcMar>
                    <w:top w:w="0" w:type="dxa"/>
                    <w:left w:w="150" w:type="dxa"/>
                    <w:bottom w:w="0" w:type="dxa"/>
                    <w:right w:w="150" w:type="dxa"/>
                  </w:tcMar>
                  <w:vAlign w:val="center"/>
                  <w:hideMark/>
                </w:tcPr>
                <w:p w:rsidR="00671693" w:rsidRDefault="00671693">
                  <w:pPr>
                    <w:spacing w:line="150" w:lineRule="exact"/>
                    <w:rPr>
                      <w:sz w:val="15"/>
                      <w:szCs w:val="15"/>
                    </w:rPr>
                  </w:pPr>
                  <w:r>
                    <w:rPr>
                      <w:sz w:val="15"/>
                      <w:szCs w:val="15"/>
                    </w:rPr>
                    <w:t xml:space="preserve">  </w:t>
                  </w:r>
                </w:p>
              </w:tc>
            </w:tr>
          </w:tbl>
          <w:p w:rsidR="00671693" w:rsidRDefault="00671693">
            <w:pPr>
              <w:rPr>
                <w:sz w:val="20"/>
                <w:szCs w:val="20"/>
              </w:rPr>
            </w:pPr>
          </w:p>
        </w:tc>
      </w:tr>
    </w:tbl>
    <w:p w:rsidR="00A214DC" w:rsidRDefault="00A214DC">
      <w:bookmarkStart w:id="0" w:name="_GoBack"/>
      <w:bookmarkEnd w:id="0"/>
    </w:p>
    <w:sectPr w:rsidR="00A214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altName w:val="Times New Roman"/>
    <w:panose1 w:val="02000000000000000000"/>
    <w:charset w:val="00"/>
    <w:family w:val="auto"/>
    <w:pitch w:val="variable"/>
    <w:sig w:usb0="0000000F"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B328B"/>
    <w:multiLevelType w:val="hybridMultilevel"/>
    <w:tmpl w:val="88F0C26E"/>
    <w:lvl w:ilvl="0" w:tplc="26D621BC">
      <w:numFmt w:val="bullet"/>
      <w:lvlText w:val="-"/>
      <w:lvlJc w:val="left"/>
      <w:pPr>
        <w:ind w:left="720" w:hanging="360"/>
      </w:pPr>
      <w:rPr>
        <w:rFonts w:ascii="Marianne" w:eastAsia="Times New Roman" w:hAnsi="Mariann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693"/>
    <w:rsid w:val="00671693"/>
    <w:rsid w:val="00A214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CE142-64F4-492C-AFF8-650E8AEC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693"/>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71693"/>
    <w:rPr>
      <w:color w:val="0000FF"/>
      <w:u w:val="single"/>
    </w:rPr>
  </w:style>
  <w:style w:type="paragraph" w:styleId="NormalWeb">
    <w:name w:val="Normal (Web)"/>
    <w:basedOn w:val="Normal"/>
    <w:uiPriority w:val="99"/>
    <w:semiHidden/>
    <w:unhideWhenUsed/>
    <w:rsid w:val="00671693"/>
    <w:pPr>
      <w:spacing w:before="100" w:beforeAutospacing="1" w:after="100" w:afterAutospacing="1"/>
    </w:pPr>
  </w:style>
  <w:style w:type="character" w:customStyle="1" w:styleId="ParagraphedelisteCar">
    <w:name w:val="Paragraphe de liste Car"/>
    <w:aliases w:val="Sous-titre light Car,Normal bullet 2 Car,List Paragraph Car,EC Car,Liste couleur - Accent 11 Car,Paragraphe de liste1 Car,Colorful List - Accent 11 Car,Dot pt Car,List Paragraph1 Car,No Spacing1 Car,Indicator Text Car"/>
    <w:basedOn w:val="Policepardfaut"/>
    <w:link w:val="Paragraphedeliste"/>
    <w:uiPriority w:val="34"/>
    <w:locked/>
    <w:rsid w:val="00671693"/>
  </w:style>
  <w:style w:type="paragraph" w:styleId="Paragraphedeliste">
    <w:name w:val="List Paragraph"/>
    <w:aliases w:val="Sous-titre light,Normal bullet 2,List Paragraph,EC,Liste couleur - Accent 11,Paragraphe de liste1,Colorful List - Accent 11,Dot pt,List Paragraph1,No Spacing1,List Paragraph Char Char Char,Indicator Text,Numbered Para 1,Bullet Points"/>
    <w:basedOn w:val="Normal"/>
    <w:link w:val="ParagraphedelisteCar"/>
    <w:uiPriority w:val="34"/>
    <w:qFormat/>
    <w:rsid w:val="00671693"/>
    <w:pPr>
      <w:spacing w:after="160" w:line="252" w:lineRule="auto"/>
      <w:ind w:left="720"/>
      <w:contextualSpacing/>
    </w:pPr>
    <w:rPr>
      <w:rFonts w:asciiTheme="minorHAnsi" w:hAnsiTheme="minorHAnsi" w:cstheme="minorBidi"/>
      <w:sz w:val="22"/>
      <w:szCs w:val="22"/>
      <w:lang w:eastAsia="en-US"/>
    </w:rPr>
  </w:style>
  <w:style w:type="character" w:styleId="lev">
    <w:name w:val="Strong"/>
    <w:basedOn w:val="Policepardfaut"/>
    <w:uiPriority w:val="22"/>
    <w:qFormat/>
    <w:rsid w:val="006716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21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mcp@cabinets.finances.gouv.fr" TargetMode="External"/><Relationship Id="rId3" Type="http://schemas.openxmlformats.org/officeDocument/2006/relationships/settings" Target="settings.xml"/><Relationship Id="rId7" Type="http://schemas.openxmlformats.org/officeDocument/2006/relationships/hyperlink" Target="mailto:presse.mtfp@transformation.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presse.travail@cab.travail.gouv.f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DC-RGPD-CAB@ddc.socia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1089</Words>
  <Characters>5993</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BOILLEY, Léna (CAB/TRAVAIL)</dc:creator>
  <cp:keywords/>
  <dc:description/>
  <cp:lastModifiedBy>BOILLEY, Léna (CAB/TRAVAIL)</cp:lastModifiedBy>
  <cp:revision>1</cp:revision>
  <dcterms:created xsi:type="dcterms:W3CDTF">2022-03-16T16:20:00Z</dcterms:created>
  <dcterms:modified xsi:type="dcterms:W3CDTF">2022-03-16T16:21:00Z</dcterms:modified>
</cp:coreProperties>
</file>