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6E78" w14:textId="77777777" w:rsidR="00B03BF6" w:rsidRDefault="00894083" w:rsidP="00B03BF6">
      <w: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03BF6" w14:paraId="46F99F14" w14:textId="77777777" w:rsidTr="00B03BF6">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B03BF6" w14:paraId="0B4D5CE2" w14:textId="77777777">
              <w:trPr>
                <w:trHeight w:val="150"/>
              </w:trPr>
              <w:tc>
                <w:tcPr>
                  <w:tcW w:w="9750" w:type="dxa"/>
                  <w:shd w:val="clear" w:color="auto" w:fill="FFFFFF"/>
                  <w:tcMar>
                    <w:top w:w="0" w:type="dxa"/>
                    <w:left w:w="150" w:type="dxa"/>
                    <w:bottom w:w="0" w:type="dxa"/>
                    <w:right w:w="150" w:type="dxa"/>
                  </w:tcMar>
                  <w:vAlign w:val="center"/>
                  <w:hideMark/>
                </w:tcPr>
                <w:p w14:paraId="05C25541" w14:textId="77777777" w:rsidR="00B03BF6" w:rsidRDefault="00B03BF6">
                  <w:pPr>
                    <w:spacing w:line="150" w:lineRule="exact"/>
                  </w:pPr>
                  <w:r>
                    <w:rPr>
                      <w:sz w:val="15"/>
                      <w:szCs w:val="15"/>
                      <w:lang w:eastAsia="en-US"/>
                    </w:rPr>
                    <w:t xml:space="preserve">  </w:t>
                  </w:r>
                </w:p>
              </w:tc>
            </w:tr>
          </w:tbl>
          <w:p w14:paraId="31F0FB68" w14:textId="77777777" w:rsidR="00B03BF6" w:rsidRDefault="00B03BF6">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31"/>
              <w:gridCol w:w="8810"/>
              <w:gridCol w:w="131"/>
            </w:tblGrid>
            <w:tr w:rsidR="00B03BF6" w14:paraId="0D312FD2" w14:textId="77777777">
              <w:tc>
                <w:tcPr>
                  <w:tcW w:w="150" w:type="dxa"/>
                  <w:shd w:val="clear" w:color="auto" w:fill="FFFFFF"/>
                  <w:vAlign w:val="center"/>
                  <w:hideMark/>
                </w:tcPr>
                <w:p w14:paraId="04E98C31" w14:textId="77777777" w:rsidR="00B03BF6" w:rsidRDefault="00B03BF6"/>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B03BF6" w14:paraId="5923750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B03BF6" w14:paraId="31608D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B03BF6" w14:paraId="0ADE8AE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B03BF6" w14:paraId="4EB1D2BC" w14:textId="77777777">
                                      <w:trPr>
                                        <w:jc w:val="center"/>
                                      </w:trPr>
                                      <w:tc>
                                        <w:tcPr>
                                          <w:tcW w:w="0" w:type="auto"/>
                                          <w:vAlign w:val="center"/>
                                          <w:hideMark/>
                                        </w:tcPr>
                                        <w:tbl>
                                          <w:tblPr>
                                            <w:tblpPr w:bottomFromText="115" w:vertAnchor="text"/>
                                            <w:tblW w:w="0" w:type="auto"/>
                                            <w:tblCellMar>
                                              <w:left w:w="0" w:type="dxa"/>
                                              <w:right w:w="0" w:type="dxa"/>
                                            </w:tblCellMar>
                                            <w:tblLook w:val="04A0" w:firstRow="1" w:lastRow="0" w:firstColumn="1" w:lastColumn="0" w:noHBand="0" w:noVBand="1"/>
                                          </w:tblPr>
                                          <w:tblGrid>
                                            <w:gridCol w:w="2703"/>
                                          </w:tblGrid>
                                          <w:tr w:rsidR="00B03BF6" w14:paraId="2754B99D" w14:textId="77777777">
                                            <w:tc>
                                              <w:tcPr>
                                                <w:tcW w:w="0" w:type="auto"/>
                                                <w:vAlign w:val="center"/>
                                                <w:hideMark/>
                                              </w:tcPr>
                                              <w:p w14:paraId="0EB3EB40" w14:textId="035902CD" w:rsidR="00B03BF6" w:rsidRDefault="00B03BF6">
                                                <w:pPr>
                                                  <w:spacing w:line="0" w:lineRule="atLeast"/>
                                                </w:pPr>
                                                <w:r>
                                                  <w:rPr>
                                                    <w:noProof/>
                                                    <w:sz w:val="2"/>
                                                    <w:szCs w:val="2"/>
                                                  </w:rPr>
                                                  <w:drawing>
                                                    <wp:inline distT="0" distB="0" distL="0" distR="0" wp14:anchorId="0DF4DCAB" wp14:editId="5712B28F">
                                                      <wp:extent cx="1716405" cy="1009015"/>
                                                      <wp:effectExtent l="0" t="0" r="0" b="635"/>
                                                      <wp:docPr id="3" name="Image 3" descr="cid:image001.png@01D6D4A7.3B61C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D4A7.3B61CB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6405" cy="1009015"/>
                                                              </a:xfrm>
                                                              <a:prstGeom prst="rect">
                                                                <a:avLst/>
                                                              </a:prstGeom>
                                                              <a:noFill/>
                                                              <a:ln>
                                                                <a:noFill/>
                                                              </a:ln>
                                                            </pic:spPr>
                                                          </pic:pic>
                                                        </a:graphicData>
                                                      </a:graphic>
                                                    </wp:inline>
                                                  </w:drawing>
                                                </w:r>
                                              </w:p>
                                            </w:tc>
                                          </w:tr>
                                        </w:tbl>
                                        <w:p w14:paraId="78617AD2" w14:textId="77777777" w:rsidR="00B03BF6" w:rsidRDefault="00B03BF6">
                                          <w:pPr>
                                            <w:rPr>
                                              <w:rFonts w:ascii="Times New Roman" w:eastAsia="Times New Roman" w:hAnsi="Times New Roman" w:cs="Times New Roman"/>
                                              <w:sz w:val="20"/>
                                              <w:szCs w:val="20"/>
                                            </w:rPr>
                                          </w:pPr>
                                        </w:p>
                                      </w:tc>
                                    </w:tr>
                                  </w:tbl>
                                  <w:p w14:paraId="16EE474C" w14:textId="77777777" w:rsidR="00B03BF6" w:rsidRDefault="00B03BF6">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68"/>
                                    </w:tblGrid>
                                    <w:tr w:rsidR="00B03BF6" w14:paraId="6CC38041" w14:textId="77777777">
                                      <w:trPr>
                                        <w:trHeight w:val="300"/>
                                        <w:jc w:val="center"/>
                                      </w:trPr>
                                      <w:tc>
                                        <w:tcPr>
                                          <w:tcW w:w="0" w:type="auto"/>
                                          <w:vAlign w:val="center"/>
                                          <w:hideMark/>
                                        </w:tcPr>
                                        <w:p w14:paraId="4E31EFA6" w14:textId="77777777" w:rsidR="00B03BF6" w:rsidRDefault="00B03BF6">
                                          <w:pPr>
                                            <w:spacing w:line="300" w:lineRule="exact"/>
                                          </w:pPr>
                                          <w:r>
                                            <w:rPr>
                                              <w:sz w:val="30"/>
                                              <w:szCs w:val="30"/>
                                              <w:lang w:eastAsia="en-US"/>
                                            </w:rPr>
                                            <w:t xml:space="preserve">  </w:t>
                                          </w:r>
                                        </w:p>
                                      </w:tc>
                                    </w:tr>
                                  </w:tbl>
                                  <w:p w14:paraId="231C2C5C" w14:textId="77777777" w:rsidR="00B03BF6" w:rsidRDefault="00B03BF6">
                                    <w:pPr>
                                      <w:jc w:val="center"/>
                                      <w:rPr>
                                        <w:rFonts w:ascii="Times New Roman" w:eastAsia="Times New Roman" w:hAnsi="Times New Roman" w:cs="Times New Roman"/>
                                        <w:sz w:val="20"/>
                                        <w:szCs w:val="20"/>
                                      </w:rPr>
                                    </w:pPr>
                                  </w:p>
                                </w:tc>
                              </w:tr>
                            </w:tbl>
                            <w:p w14:paraId="1682C231" w14:textId="77777777" w:rsidR="00B03BF6" w:rsidRDefault="00B03BF6">
                              <w:pPr>
                                <w:rPr>
                                  <w:rFonts w:ascii="Times New Roman" w:eastAsia="Times New Roman" w:hAnsi="Times New Roman" w:cs="Times New Roman"/>
                                  <w:sz w:val="20"/>
                                  <w:szCs w:val="20"/>
                                </w:rPr>
                              </w:pPr>
                            </w:p>
                          </w:tc>
                        </w:tr>
                      </w:tbl>
                      <w:p w14:paraId="601678C1" w14:textId="77777777" w:rsidR="00B03BF6" w:rsidRDefault="00B03BF6">
                        <w:pPr>
                          <w:jc w:val="center"/>
                          <w:rPr>
                            <w:rFonts w:ascii="Times New Roman" w:eastAsia="Times New Roman" w:hAnsi="Times New Roman" w:cs="Times New Roman"/>
                            <w:sz w:val="20"/>
                            <w:szCs w:val="20"/>
                          </w:rPr>
                        </w:pPr>
                      </w:p>
                    </w:tc>
                  </w:tr>
                </w:tbl>
                <w:p w14:paraId="404D837B"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78B9DBC6" w14:textId="77777777" w:rsidR="00B03BF6" w:rsidRDefault="00B03BF6">
                  <w:pPr>
                    <w:rPr>
                      <w:rFonts w:ascii="Times New Roman" w:eastAsia="Times New Roman" w:hAnsi="Times New Roman" w:cs="Times New Roman"/>
                      <w:sz w:val="20"/>
                      <w:szCs w:val="20"/>
                    </w:rPr>
                  </w:pPr>
                </w:p>
              </w:tc>
            </w:tr>
          </w:tbl>
          <w:p w14:paraId="33044C8D" w14:textId="77777777" w:rsidR="00B03BF6" w:rsidRDefault="00B03BF6">
            <w:pPr>
              <w:rPr>
                <w:rFonts w:ascii="Times New Roman" w:eastAsia="Times New Roman" w:hAnsi="Times New Roman" w:cs="Times New Roman"/>
                <w:sz w:val="20"/>
                <w:szCs w:val="20"/>
              </w:rPr>
            </w:pPr>
          </w:p>
        </w:tc>
      </w:tr>
    </w:tbl>
    <w:p w14:paraId="7158A4A5" w14:textId="77777777" w:rsidR="00B03BF6" w:rsidRDefault="00B03BF6" w:rsidP="00B03BF6">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B03BF6" w14:paraId="1982F3D5"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03BF6" w14:paraId="382C647C" w14:textId="77777777">
              <w:tc>
                <w:tcPr>
                  <w:tcW w:w="150" w:type="dxa"/>
                  <w:shd w:val="clear" w:color="auto" w:fill="FFFFFF"/>
                  <w:vAlign w:val="center"/>
                  <w:hideMark/>
                </w:tcPr>
                <w:p w14:paraId="70B13ABC" w14:textId="77777777" w:rsidR="00B03BF6" w:rsidRDefault="00B03BF6"/>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03BF6" w14:paraId="2427772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03BF6" w14:paraId="64994B6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03BF6" w14:paraId="527D2939" w14:textId="77777777">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8"/>
                                    </w:tblGrid>
                                    <w:tr w:rsidR="00B03BF6" w14:paraId="2D1A1752" w14:textId="77777777">
                                      <w:tc>
                                        <w:tcPr>
                                          <w:tcW w:w="0" w:type="auto"/>
                                          <w:vAlign w:val="center"/>
                                          <w:hideMark/>
                                        </w:tcPr>
                                        <w:p w14:paraId="5A27349B" w14:textId="77777777" w:rsidR="00B03BF6" w:rsidRDefault="00B03BF6">
                                          <w:pPr>
                                            <w:pStyle w:val="NormalWeb"/>
                                            <w:spacing w:before="0" w:beforeAutospacing="0" w:after="0" w:afterAutospacing="0" w:line="390" w:lineRule="exact"/>
                                            <w:jc w:val="center"/>
                                            <w:rPr>
                                              <w:rFonts w:eastAsiaTheme="minorHAnsi"/>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B03BF6" w14:paraId="0032833B" w14:textId="77777777">
                                      <w:trPr>
                                        <w:trHeight w:val="300"/>
                                        <w:jc w:val="center"/>
                                      </w:trPr>
                                      <w:tc>
                                        <w:tcPr>
                                          <w:tcW w:w="0" w:type="auto"/>
                                          <w:vAlign w:val="center"/>
                                          <w:hideMark/>
                                        </w:tcPr>
                                        <w:p w14:paraId="5CFD65AD" w14:textId="77777777" w:rsidR="00B03BF6" w:rsidRDefault="00B03BF6">
                                          <w:pPr>
                                            <w:spacing w:line="300" w:lineRule="exact"/>
                                          </w:pPr>
                                          <w:r>
                                            <w:rPr>
                                              <w:sz w:val="30"/>
                                              <w:szCs w:val="30"/>
                                              <w:lang w:eastAsia="en-US"/>
                                            </w:rPr>
                                            <w:t xml:space="preserve">  </w:t>
                                          </w:r>
                                        </w:p>
                                      </w:tc>
                                    </w:tr>
                                  </w:tbl>
                                  <w:p w14:paraId="2CE118B2" w14:textId="77777777" w:rsidR="00B03BF6" w:rsidRDefault="00B03BF6">
                                    <w:pPr>
                                      <w:jc w:val="center"/>
                                      <w:rPr>
                                        <w:rFonts w:ascii="Times New Roman" w:eastAsia="Times New Roman" w:hAnsi="Times New Roman" w:cs="Times New Roman"/>
                                        <w:sz w:val="20"/>
                                        <w:szCs w:val="20"/>
                                      </w:rPr>
                                    </w:pPr>
                                  </w:p>
                                </w:tc>
                              </w:tr>
                            </w:tbl>
                            <w:p w14:paraId="26A35FA7" w14:textId="77777777" w:rsidR="00B03BF6" w:rsidRDefault="00B03BF6">
                              <w:pPr>
                                <w:rPr>
                                  <w:rFonts w:ascii="Times New Roman" w:eastAsia="Times New Roman" w:hAnsi="Times New Roman" w:cs="Times New Roman"/>
                                  <w:sz w:val="20"/>
                                  <w:szCs w:val="20"/>
                                </w:rPr>
                              </w:pPr>
                            </w:p>
                          </w:tc>
                        </w:tr>
                      </w:tbl>
                      <w:p w14:paraId="67EDAD8A" w14:textId="77777777" w:rsidR="00B03BF6" w:rsidRDefault="00B03BF6">
                        <w:pPr>
                          <w:jc w:val="center"/>
                          <w:rPr>
                            <w:rFonts w:ascii="Times New Roman" w:eastAsia="Times New Roman" w:hAnsi="Times New Roman" w:cs="Times New Roman"/>
                            <w:sz w:val="20"/>
                            <w:szCs w:val="20"/>
                          </w:rPr>
                        </w:pPr>
                      </w:p>
                    </w:tc>
                  </w:tr>
                </w:tbl>
                <w:p w14:paraId="1912DBDA"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0388F505" w14:textId="77777777" w:rsidR="00B03BF6" w:rsidRDefault="00B03BF6">
                  <w:pPr>
                    <w:rPr>
                      <w:rFonts w:ascii="Times New Roman" w:eastAsia="Times New Roman" w:hAnsi="Times New Roman" w:cs="Times New Roman"/>
                      <w:sz w:val="20"/>
                      <w:szCs w:val="20"/>
                    </w:rPr>
                  </w:pPr>
                </w:p>
              </w:tc>
            </w:tr>
          </w:tbl>
          <w:p w14:paraId="1A17AE35" w14:textId="77777777" w:rsidR="00B03BF6" w:rsidRDefault="00B03BF6">
            <w:pPr>
              <w:rPr>
                <w:rFonts w:ascii="Times New Roman" w:eastAsia="Times New Roman" w:hAnsi="Times New Roman" w:cs="Times New Roman"/>
                <w:sz w:val="20"/>
                <w:szCs w:val="20"/>
              </w:rPr>
            </w:pPr>
          </w:p>
        </w:tc>
      </w:tr>
      <w:tr w:rsidR="00B03BF6" w14:paraId="65B23F75"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03BF6" w14:paraId="66FCF3FB" w14:textId="77777777">
              <w:tc>
                <w:tcPr>
                  <w:tcW w:w="150" w:type="dxa"/>
                  <w:shd w:val="clear" w:color="auto" w:fill="FFFFFF"/>
                  <w:vAlign w:val="center"/>
                  <w:hideMark/>
                </w:tcPr>
                <w:p w14:paraId="4FD0FE48" w14:textId="77777777" w:rsidR="00B03BF6" w:rsidRDefault="00B03BF6">
                  <w:pPr>
                    <w:rPr>
                      <w:rFonts w:ascii="Times New Roman" w:eastAsia="Times New Roman" w:hAnsi="Times New Roman" w:cs="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B03BF6" w14:paraId="409A3FC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B03BF6" w14:paraId="39BBF0E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03BF6" w14:paraId="780D55EE" w14:textId="77777777">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5"/>
                                    </w:tblGrid>
                                    <w:tr w:rsidR="00B03BF6" w14:paraId="6D9B8D2D" w14:textId="77777777">
                                      <w:tc>
                                        <w:tcPr>
                                          <w:tcW w:w="0" w:type="auto"/>
                                          <w:vAlign w:val="center"/>
                                          <w:hideMark/>
                                        </w:tcPr>
                                        <w:p w14:paraId="1FB7EA13" w14:textId="77777777" w:rsidR="00B03BF6" w:rsidRDefault="00B03BF6">
                                          <w:pPr>
                                            <w:pStyle w:val="NormalWeb"/>
                                            <w:spacing w:before="0" w:beforeAutospacing="0" w:after="0" w:afterAutospacing="0" w:line="390" w:lineRule="exact"/>
                                            <w:jc w:val="right"/>
                                            <w:rPr>
                                              <w:rFonts w:eastAsiaTheme="minorHAnsi"/>
                                            </w:rPr>
                                          </w:pPr>
                                          <w:r>
                                            <w:rPr>
                                              <w:rFonts w:ascii="Arial" w:hAnsi="Arial" w:cs="Arial"/>
                                              <w:color w:val="000000"/>
                                              <w:sz w:val="18"/>
                                              <w:szCs w:val="18"/>
                                              <w:lang w:eastAsia="en-US"/>
                                            </w:rPr>
                                            <w:t>Paris, le 17 décembre 2020</w:t>
                                          </w:r>
                                        </w:p>
                                      </w:tc>
                                    </w:tr>
                                  </w:tbl>
                                  <w:p w14:paraId="0383F2FC" w14:textId="77777777" w:rsidR="00B03BF6" w:rsidRDefault="00B03BF6">
                                    <w:pPr>
                                      <w:rPr>
                                        <w:rFonts w:ascii="Times New Roman" w:eastAsia="Times New Roman" w:hAnsi="Times New Roman" w:cs="Times New Roman"/>
                                        <w:sz w:val="20"/>
                                        <w:szCs w:val="20"/>
                                      </w:rPr>
                                    </w:pPr>
                                  </w:p>
                                </w:tc>
                              </w:tr>
                            </w:tbl>
                            <w:p w14:paraId="32A687FE" w14:textId="77777777" w:rsidR="00B03BF6" w:rsidRDefault="00B03BF6">
                              <w:pPr>
                                <w:rPr>
                                  <w:rFonts w:ascii="Times New Roman" w:eastAsia="Times New Roman" w:hAnsi="Times New Roman" w:cs="Times New Roman"/>
                                  <w:sz w:val="20"/>
                                  <w:szCs w:val="20"/>
                                </w:rPr>
                              </w:pPr>
                            </w:p>
                          </w:tc>
                        </w:tr>
                      </w:tbl>
                      <w:p w14:paraId="7A163272" w14:textId="77777777" w:rsidR="00B03BF6" w:rsidRDefault="00B03BF6">
                        <w:pPr>
                          <w:jc w:val="center"/>
                          <w:rPr>
                            <w:rFonts w:ascii="Times New Roman" w:eastAsia="Times New Roman" w:hAnsi="Times New Roman" w:cs="Times New Roman"/>
                            <w:sz w:val="20"/>
                            <w:szCs w:val="20"/>
                          </w:rPr>
                        </w:pPr>
                      </w:p>
                    </w:tc>
                  </w:tr>
                </w:tbl>
                <w:p w14:paraId="788D21E2"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5959D994" w14:textId="77777777" w:rsidR="00B03BF6" w:rsidRDefault="00B03BF6">
                  <w:pPr>
                    <w:rPr>
                      <w:rFonts w:ascii="Times New Roman" w:eastAsia="Times New Roman" w:hAnsi="Times New Roman" w:cs="Times New Roman"/>
                      <w:sz w:val="20"/>
                      <w:szCs w:val="20"/>
                    </w:rPr>
                  </w:pPr>
                </w:p>
              </w:tc>
            </w:tr>
          </w:tbl>
          <w:p w14:paraId="1128CFA2" w14:textId="77777777" w:rsidR="00B03BF6" w:rsidRDefault="00B03BF6">
            <w:pPr>
              <w:rPr>
                <w:rFonts w:ascii="Times New Roman" w:eastAsia="Times New Roman" w:hAnsi="Times New Roman" w:cs="Times New Roman"/>
                <w:sz w:val="20"/>
                <w:szCs w:val="20"/>
              </w:rPr>
            </w:pPr>
          </w:p>
        </w:tc>
      </w:tr>
    </w:tbl>
    <w:p w14:paraId="023961E5" w14:textId="77777777" w:rsidR="00B03BF6" w:rsidRDefault="00B03BF6" w:rsidP="00B03BF6">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B03BF6" w14:paraId="726DB68E"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03BF6" w14:paraId="515EF994" w14:textId="77777777">
              <w:tc>
                <w:tcPr>
                  <w:tcW w:w="150" w:type="dxa"/>
                  <w:shd w:val="clear" w:color="auto" w:fill="FFFFFF"/>
                  <w:vAlign w:val="center"/>
                  <w:hideMark/>
                </w:tcPr>
                <w:p w14:paraId="6E6D415D" w14:textId="77777777" w:rsidR="00B03BF6" w:rsidRDefault="00B03BF6"/>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394"/>
                    <w:gridCol w:w="666"/>
                  </w:tblGrid>
                  <w:tr w:rsidR="00B03BF6" w14:paraId="5148F505" w14:textId="77777777">
                    <w:trPr>
                      <w:jc w:val="center"/>
                    </w:trPr>
                    <w:tc>
                      <w:tcPr>
                        <w:tcW w:w="3000" w:type="pct"/>
                        <w:hideMark/>
                      </w:tcPr>
                      <w:tbl>
                        <w:tblPr>
                          <w:tblW w:w="8647" w:type="dxa"/>
                          <w:tblCellMar>
                            <w:left w:w="0" w:type="dxa"/>
                            <w:right w:w="0" w:type="dxa"/>
                          </w:tblCellMar>
                          <w:tblLook w:val="04A0" w:firstRow="1" w:lastRow="0" w:firstColumn="1" w:lastColumn="0" w:noHBand="0" w:noVBand="1"/>
                        </w:tblPr>
                        <w:tblGrid>
                          <w:gridCol w:w="8647"/>
                        </w:tblGrid>
                        <w:tr w:rsidR="00B03BF6" w14:paraId="6209A105" w14:textId="77777777">
                          <w:tc>
                            <w:tcPr>
                              <w:tcW w:w="5000" w:type="pct"/>
                              <w:tcMar>
                                <w:top w:w="300" w:type="dxa"/>
                                <w:left w:w="300" w:type="dxa"/>
                                <w:bottom w:w="300" w:type="dxa"/>
                                <w:right w:w="300" w:type="dxa"/>
                              </w:tcMar>
                              <w:vAlign w:val="center"/>
                              <w:hideMark/>
                            </w:tcPr>
                            <w:tbl>
                              <w:tblPr>
                                <w:tblpPr w:bottomFromText="115" w:vertAnchor="text"/>
                                <w:tblW w:w="7938" w:type="dxa"/>
                                <w:tblCellMar>
                                  <w:left w:w="0" w:type="dxa"/>
                                  <w:right w:w="0" w:type="dxa"/>
                                </w:tblCellMar>
                                <w:tblLook w:val="04A0" w:firstRow="1" w:lastRow="0" w:firstColumn="1" w:lastColumn="0" w:noHBand="0" w:noVBand="1"/>
                              </w:tblPr>
                              <w:tblGrid>
                                <w:gridCol w:w="7938"/>
                              </w:tblGrid>
                              <w:tr w:rsidR="00B03BF6" w14:paraId="4F93CAA6" w14:textId="77777777">
                                <w:tc>
                                  <w:tcPr>
                                    <w:tcW w:w="5000" w:type="pct"/>
                                    <w:vAlign w:val="center"/>
                                    <w:hideMark/>
                                  </w:tcPr>
                                  <w:p w14:paraId="70718F4F" w14:textId="77777777" w:rsidR="00B03BF6" w:rsidRDefault="00B03BF6">
                                    <w:pPr>
                                      <w:pStyle w:val="NormalWeb"/>
                                      <w:spacing w:before="0" w:beforeAutospacing="0" w:after="0" w:afterAutospacing="0" w:line="330" w:lineRule="exact"/>
                                      <w:jc w:val="both"/>
                                      <w:rPr>
                                        <w:rFonts w:eastAsiaTheme="minorHAnsi"/>
                                      </w:rPr>
                                    </w:pPr>
                                    <w:r>
                                      <w:rPr>
                                        <w:rStyle w:val="lev"/>
                                        <w:rFonts w:ascii="Arial" w:hAnsi="Arial" w:cs="Arial"/>
                                        <w:color w:val="000000"/>
                                        <w:lang w:eastAsia="en-US"/>
                                      </w:rPr>
                                      <w:t>Le Gouvernement prolonge certaines dispositions pour permettre aux entreprises de s’adapter au mieux face aux urgences créées par l’épidémie.</w:t>
                                    </w:r>
                                  </w:p>
                                </w:tc>
                              </w:tr>
                            </w:tbl>
                            <w:p w14:paraId="73D2335E" w14:textId="77777777" w:rsidR="00B03BF6" w:rsidRDefault="00B03BF6">
                              <w:pPr>
                                <w:rPr>
                                  <w:rFonts w:ascii="Times New Roman" w:eastAsia="Times New Roman" w:hAnsi="Times New Roman" w:cs="Times New Roman"/>
                                  <w:sz w:val="20"/>
                                  <w:szCs w:val="20"/>
                                </w:rPr>
                              </w:pPr>
                            </w:p>
                          </w:tc>
                        </w:tr>
                      </w:tbl>
                      <w:p w14:paraId="26733108" w14:textId="77777777" w:rsidR="00B03BF6" w:rsidRDefault="00B03BF6">
                        <w:pPr>
                          <w:rPr>
                            <w:rFonts w:ascii="Times New Roman" w:eastAsia="Times New Roman" w:hAnsi="Times New Roman" w:cs="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66"/>
                        </w:tblGrid>
                        <w:tr w:rsidR="00B03BF6" w14:paraId="588F87BD"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6"/>
                              </w:tblGrid>
                              <w:tr w:rsidR="00B03BF6" w14:paraId="4E14F84B" w14:textId="77777777">
                                <w:trPr>
                                  <w:trHeight w:val="300"/>
                                  <w:jc w:val="center"/>
                                </w:trPr>
                                <w:tc>
                                  <w:tcPr>
                                    <w:tcW w:w="0" w:type="auto"/>
                                    <w:vAlign w:val="center"/>
                                    <w:hideMark/>
                                  </w:tcPr>
                                  <w:p w14:paraId="2C2CCF2F" w14:textId="77777777" w:rsidR="00B03BF6" w:rsidRDefault="00B03BF6">
                                    <w:pPr>
                                      <w:spacing w:line="300" w:lineRule="exact"/>
                                    </w:pPr>
                                    <w:r>
                                      <w:rPr>
                                        <w:sz w:val="30"/>
                                        <w:szCs w:val="30"/>
                                        <w:lang w:eastAsia="en-US"/>
                                      </w:rPr>
                                      <w:t xml:space="preserve">  </w:t>
                                    </w:r>
                                  </w:p>
                                </w:tc>
                              </w:tr>
                            </w:tbl>
                            <w:p w14:paraId="15863442" w14:textId="77777777" w:rsidR="00B03BF6" w:rsidRDefault="00B03BF6">
                              <w:pPr>
                                <w:jc w:val="center"/>
                                <w:rPr>
                                  <w:rFonts w:ascii="Times New Roman" w:eastAsia="Times New Roman" w:hAnsi="Times New Roman" w:cs="Times New Roman"/>
                                  <w:sz w:val="20"/>
                                  <w:szCs w:val="20"/>
                                </w:rPr>
                              </w:pPr>
                            </w:p>
                          </w:tc>
                        </w:tr>
                      </w:tbl>
                      <w:p w14:paraId="15574D9B" w14:textId="77777777" w:rsidR="00B03BF6" w:rsidRDefault="00B03BF6">
                        <w:pPr>
                          <w:rPr>
                            <w:rFonts w:ascii="Times New Roman" w:eastAsia="Times New Roman" w:hAnsi="Times New Roman" w:cs="Times New Roman"/>
                            <w:sz w:val="20"/>
                            <w:szCs w:val="20"/>
                          </w:rPr>
                        </w:pPr>
                      </w:p>
                    </w:tc>
                  </w:tr>
                  <w:tr w:rsidR="00B03BF6" w14:paraId="34DE193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087"/>
                          <w:gridCol w:w="3307"/>
                        </w:tblGrid>
                        <w:tr w:rsidR="00B03BF6" w14:paraId="77354C20" w14:textId="77777777">
                          <w:trPr>
                            <w:jc w:val="center"/>
                          </w:trPr>
                          <w:tc>
                            <w:tcPr>
                              <w:tcW w:w="3000" w:type="pct"/>
                              <w:hideMark/>
                            </w:tcPr>
                            <w:p w14:paraId="76ECA61E" w14:textId="77777777" w:rsidR="00B03BF6" w:rsidRDefault="00B03BF6">
                              <w:pPr>
                                <w:rPr>
                                  <w:rFonts w:ascii="Times New Roman" w:eastAsia="Times New Roman" w:hAnsi="Times New Roman" w:cs="Times New Roman"/>
                                  <w:sz w:val="20"/>
                                  <w:szCs w:val="20"/>
                                </w:rPr>
                              </w:pPr>
                            </w:p>
                          </w:tc>
                          <w:tc>
                            <w:tcPr>
                              <w:tcW w:w="1950" w:type="pct"/>
                              <w:hideMark/>
                            </w:tcPr>
                            <w:p w14:paraId="6FADBCEA" w14:textId="77777777" w:rsidR="00B03BF6" w:rsidRDefault="00B03BF6">
                              <w:pPr>
                                <w:rPr>
                                  <w:rFonts w:ascii="Times New Roman" w:eastAsia="Times New Roman" w:hAnsi="Times New Roman" w:cs="Times New Roman"/>
                                  <w:sz w:val="20"/>
                                  <w:szCs w:val="20"/>
                                </w:rPr>
                              </w:pPr>
                            </w:p>
                          </w:tc>
                        </w:tr>
                      </w:tbl>
                      <w:p w14:paraId="52B64FD9" w14:textId="77777777" w:rsidR="00B03BF6" w:rsidRDefault="00B03BF6">
                        <w:pPr>
                          <w:jc w:val="center"/>
                          <w:rPr>
                            <w:rFonts w:ascii="Times New Roman" w:eastAsia="Times New Roman" w:hAnsi="Times New Roman" w:cs="Times New Roman"/>
                            <w:sz w:val="20"/>
                            <w:szCs w:val="20"/>
                          </w:rPr>
                        </w:pPr>
                      </w:p>
                    </w:tc>
                    <w:tc>
                      <w:tcPr>
                        <w:tcW w:w="345" w:type="dxa"/>
                        <w:vAlign w:val="center"/>
                        <w:hideMark/>
                      </w:tcPr>
                      <w:p w14:paraId="37222B26" w14:textId="77777777" w:rsidR="00B03BF6" w:rsidRDefault="00B03BF6">
                        <w:r>
                          <w:t> </w:t>
                        </w:r>
                      </w:p>
                    </w:tc>
                  </w:tr>
                </w:tbl>
                <w:p w14:paraId="47790BBF"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09C478E7" w14:textId="77777777" w:rsidR="00B03BF6" w:rsidRDefault="00B03BF6">
                  <w:pPr>
                    <w:rPr>
                      <w:rFonts w:ascii="Times New Roman" w:eastAsia="Times New Roman" w:hAnsi="Times New Roman" w:cs="Times New Roman"/>
                      <w:sz w:val="20"/>
                      <w:szCs w:val="20"/>
                    </w:rPr>
                  </w:pPr>
                </w:p>
              </w:tc>
            </w:tr>
          </w:tbl>
          <w:p w14:paraId="43997D6E" w14:textId="77777777" w:rsidR="00B03BF6" w:rsidRDefault="00B03BF6">
            <w:pPr>
              <w:rPr>
                <w:rFonts w:ascii="Times New Roman" w:eastAsia="Times New Roman" w:hAnsi="Times New Roman" w:cs="Times New Roman"/>
                <w:sz w:val="20"/>
                <w:szCs w:val="20"/>
              </w:rPr>
            </w:pPr>
          </w:p>
        </w:tc>
      </w:tr>
      <w:tr w:rsidR="00B03BF6" w14:paraId="329B259D" w14:textId="77777777" w:rsidTr="00B03BF6">
        <w:tc>
          <w:tcPr>
            <w:tcW w:w="0" w:type="auto"/>
            <w:vAlign w:val="center"/>
            <w:hideMark/>
          </w:tcPr>
          <w:tbl>
            <w:tblPr>
              <w:tblW w:w="9075" w:type="dxa"/>
              <w:tblCellMar>
                <w:left w:w="0" w:type="dxa"/>
                <w:right w:w="0" w:type="dxa"/>
              </w:tblCellMar>
              <w:tblLook w:val="04A0" w:firstRow="1" w:lastRow="0" w:firstColumn="1" w:lastColumn="0" w:noHBand="0" w:noVBand="1"/>
            </w:tblPr>
            <w:tblGrid>
              <w:gridCol w:w="20"/>
              <w:gridCol w:w="8923"/>
              <w:gridCol w:w="132"/>
            </w:tblGrid>
            <w:tr w:rsidR="00B03BF6" w14:paraId="32CFF9E5" w14:textId="77777777">
              <w:tc>
                <w:tcPr>
                  <w:tcW w:w="20" w:type="dxa"/>
                  <w:shd w:val="clear" w:color="auto" w:fill="FFFFFF"/>
                  <w:vAlign w:val="center"/>
                  <w:hideMark/>
                </w:tcPr>
                <w:p w14:paraId="76015E5E" w14:textId="77777777" w:rsidR="00B03BF6" w:rsidRDefault="00B03BF6">
                  <w:pPr>
                    <w:rPr>
                      <w:rFonts w:ascii="Times New Roman" w:eastAsia="Times New Roman" w:hAnsi="Times New Roman" w:cs="Times New Roman"/>
                      <w:sz w:val="20"/>
                      <w:szCs w:val="20"/>
                    </w:rPr>
                  </w:pPr>
                </w:p>
              </w:tc>
              <w:tc>
                <w:tcPr>
                  <w:tcW w:w="8923"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23"/>
                  </w:tblGrid>
                  <w:tr w:rsidR="00B03BF6" w14:paraId="187DED4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23"/>
                        </w:tblGrid>
                        <w:tr w:rsidR="00B03BF6" w14:paraId="76457FD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23"/>
                              </w:tblGrid>
                              <w:tr w:rsidR="00B03BF6" w14:paraId="5C4922BF" w14:textId="77777777">
                                <w:tc>
                                  <w:tcPr>
                                    <w:tcW w:w="0" w:type="auto"/>
                                    <w:tcMar>
                                      <w:top w:w="300" w:type="dxa"/>
                                      <w:left w:w="300" w:type="dxa"/>
                                      <w:bottom w:w="300" w:type="dxa"/>
                                      <w:right w:w="300" w:type="dxa"/>
                                    </w:tcMar>
                                    <w:vAlign w:val="center"/>
                                    <w:hideMark/>
                                  </w:tcPr>
                                  <w:tbl>
                                    <w:tblPr>
                                      <w:tblpPr w:bottomFromText="115" w:vertAnchor="text"/>
                                      <w:tblW w:w="4854" w:type="pct"/>
                                      <w:tblCellMar>
                                        <w:left w:w="0" w:type="dxa"/>
                                        <w:right w:w="0" w:type="dxa"/>
                                      </w:tblCellMar>
                                      <w:tblLook w:val="04A0" w:firstRow="1" w:lastRow="0" w:firstColumn="1" w:lastColumn="0" w:noHBand="0" w:noVBand="1"/>
                                    </w:tblPr>
                                    <w:tblGrid>
                                      <w:gridCol w:w="8080"/>
                                    </w:tblGrid>
                                    <w:tr w:rsidR="00B03BF6" w14:paraId="1C36A10D" w14:textId="77777777">
                                      <w:tc>
                                        <w:tcPr>
                                          <w:tcW w:w="5000" w:type="pct"/>
                                          <w:vAlign w:val="center"/>
                                          <w:hideMark/>
                                        </w:tcPr>
                                        <w:p w14:paraId="2D8E34DC" w14:textId="77777777" w:rsidR="00B03BF6" w:rsidRDefault="00B03BF6">
                                          <w:pPr>
                                            <w:pStyle w:val="NormalWeb"/>
                                            <w:spacing w:before="0" w:beforeAutospacing="0" w:after="0" w:afterAutospacing="0" w:line="330" w:lineRule="exact"/>
                                            <w:jc w:val="both"/>
                                            <w:rPr>
                                              <w:rFonts w:eastAsiaTheme="minorHAnsi"/>
                                            </w:rPr>
                                          </w:pPr>
                                          <w:r>
                                            <w:rPr>
                                              <w:rFonts w:ascii="Arial" w:hAnsi="Arial" w:cs="Arial"/>
                                              <w:color w:val="000000"/>
                                              <w:sz w:val="21"/>
                                              <w:szCs w:val="21"/>
                                              <w:lang w:eastAsia="en-US"/>
                                            </w:rPr>
                                            <w:t>Afin de permettre aux entreprises de s’adapter au mieux aux urgences créées par la crise sanitaire, l’ordonnance adoptée en Conseil des Ministres le 16 décembre 2020 prolonge, jusqu’au 30 juin 2021, la possibilité pour l’employeur, sous certaines conditions propres à chaque type de repos concerné, d’imposer la prise de jours repos ou d’en modifier les dates si celles-ci ont déjà été déterminées. Il s’agit pour l’employeur d’une solution d’appoint</w:t>
                                          </w:r>
                                          <w:bookmarkStart w:id="0" w:name="_GoBack"/>
                                          <w:bookmarkEnd w:id="0"/>
                                          <w:r>
                                            <w:rPr>
                                              <w:rFonts w:ascii="Arial" w:hAnsi="Arial" w:cs="Arial"/>
                                              <w:color w:val="000000"/>
                                              <w:sz w:val="21"/>
                                              <w:szCs w:val="21"/>
                                              <w:lang w:eastAsia="en-US"/>
                                            </w:rPr>
                                            <w:t xml:space="preserve"> limitée au contexte de la pandémie liée au </w:t>
                                          </w:r>
                                          <w:proofErr w:type="spellStart"/>
                                          <w:r>
                                            <w:rPr>
                                              <w:rFonts w:ascii="Arial" w:hAnsi="Arial" w:cs="Arial"/>
                                              <w:color w:val="000000"/>
                                              <w:sz w:val="21"/>
                                              <w:szCs w:val="21"/>
                                              <w:lang w:eastAsia="en-US"/>
                                            </w:rPr>
                                            <w:t>Covid</w:t>
                                          </w:r>
                                          <w:proofErr w:type="spellEnd"/>
                                          <w:r>
                                            <w:rPr>
                                              <w:rFonts w:ascii="Arial" w:hAnsi="Arial" w:cs="Arial"/>
                                              <w:color w:val="000000"/>
                                              <w:sz w:val="21"/>
                                              <w:szCs w:val="21"/>
                                              <w:lang w:eastAsia="en-US"/>
                                            </w:rPr>
                                            <w:t xml:space="preserve"> 19, lui permettant notamment de faire face à une diminution de l’activité de certains de ses salariés.</w:t>
                                          </w:r>
                                        </w:p>
                                        <w:p w14:paraId="438EA760" w14:textId="77777777" w:rsidR="00B03BF6" w:rsidRDefault="00B03BF6">
                                          <w:pPr>
                                            <w:pStyle w:val="NormalWeb"/>
                                            <w:spacing w:before="0" w:beforeAutospacing="0" w:after="0" w:afterAutospacing="0" w:line="330" w:lineRule="exact"/>
                                            <w:jc w:val="both"/>
                                          </w:pPr>
                                          <w:r>
                                            <w:rPr>
                                              <w:rFonts w:ascii="Calibri" w:hAnsi="Calibri" w:cs="Calibri"/>
                                              <w:color w:val="1F497D"/>
                                              <w:sz w:val="22"/>
                                              <w:szCs w:val="22"/>
                                              <w:lang w:eastAsia="en-US"/>
                                            </w:rPr>
                                            <w:t> </w:t>
                                          </w:r>
                                        </w:p>
                                        <w:p w14:paraId="52B7E457" w14:textId="77777777" w:rsidR="00B03BF6" w:rsidRDefault="00B03BF6">
                                          <w:pPr>
                                            <w:pStyle w:val="NormalWeb"/>
                                            <w:spacing w:before="0" w:beforeAutospacing="0" w:after="0" w:afterAutospacing="0" w:line="330" w:lineRule="exact"/>
                                            <w:jc w:val="both"/>
                                          </w:pPr>
                                          <w:r>
                                            <w:rPr>
                                              <w:rFonts w:ascii="Arial" w:hAnsi="Arial" w:cs="Arial"/>
                                              <w:color w:val="000000"/>
                                              <w:sz w:val="21"/>
                                              <w:szCs w:val="21"/>
                                              <w:lang w:eastAsia="en-US"/>
                                            </w:rPr>
                                            <w:t>En outre, certaines entreprises ont besoin de pourvoir rapidement à des besoins en main d’œuvre nouveaux, pour répondre aux commandes et nécessités du marché. A cet effet, le Gouvernement autorise les partenaires sociaux de l’entreprise à adapter, jusqu’au 31 juin 2021, pour leur entreprise, les règles relatives au renouvellement et à la succession de contrats courts sur un même poste de travail.</w:t>
                                          </w:r>
                                        </w:p>
                                        <w:p w14:paraId="73BFCEF8" w14:textId="77777777" w:rsidR="00B03BF6" w:rsidRDefault="00B03BF6">
                                          <w:pPr>
                                            <w:pStyle w:val="NormalWeb"/>
                                            <w:spacing w:before="0" w:beforeAutospacing="0" w:after="0" w:afterAutospacing="0" w:line="330" w:lineRule="exact"/>
                                            <w:jc w:val="both"/>
                                          </w:pPr>
                                          <w:r>
                                            <w:rPr>
                                              <w:rFonts w:ascii="Arial" w:hAnsi="Arial" w:cs="Arial"/>
                                              <w:color w:val="000000"/>
                                              <w:sz w:val="21"/>
                                              <w:szCs w:val="21"/>
                                              <w:lang w:eastAsia="en-US"/>
                                            </w:rPr>
                                            <w:t> </w:t>
                                          </w:r>
                                        </w:p>
                                        <w:p w14:paraId="2073F97B" w14:textId="77777777" w:rsidR="00B03BF6" w:rsidRDefault="00B03BF6">
                                          <w:pPr>
                                            <w:pStyle w:val="NormalWeb"/>
                                            <w:spacing w:before="0" w:beforeAutospacing="0" w:after="0" w:afterAutospacing="0" w:line="330" w:lineRule="exact"/>
                                            <w:jc w:val="both"/>
                                          </w:pPr>
                                          <w:r>
                                            <w:rPr>
                                              <w:rFonts w:ascii="Arial" w:hAnsi="Arial" w:cs="Arial"/>
                                              <w:color w:val="000000"/>
                                              <w:sz w:val="21"/>
                                              <w:szCs w:val="21"/>
                                              <w:lang w:eastAsia="en-US"/>
                                            </w:rPr>
                                            <w:lastRenderedPageBreak/>
                                            <w:t>Enfin, s’agissant du prêt de main d’œuvre à but non lucratif, le Gouvernement prolonge jusqu’au 30 juin 2021 la possibilité de conclure une convention de mise à disposition concernant plusieurs salariés et de ne pas</w:t>
                                          </w:r>
                                          <w:r>
                                            <w:rPr>
                                              <w:rFonts w:ascii="Arial" w:hAnsi="Arial" w:cs="Arial"/>
                                              <w:sz w:val="21"/>
                                              <w:szCs w:val="21"/>
                                              <w:lang w:eastAsia="en-US"/>
                                            </w:rPr>
                                            <w:t xml:space="preserve"> préciser les horaires d'exécution du</w:t>
                                          </w:r>
                                          <w:r>
                                            <w:rPr>
                                              <w:rFonts w:ascii="TimesNewRomanPSMT" w:hAnsi="TimesNewRomanPSMT"/>
                                              <w:lang w:eastAsia="en-US"/>
                                            </w:rPr>
                                            <w:t xml:space="preserve"> </w:t>
                                          </w:r>
                                          <w:r>
                                            <w:rPr>
                                              <w:rFonts w:ascii="Arial" w:hAnsi="Arial" w:cs="Arial"/>
                                              <w:sz w:val="21"/>
                                              <w:szCs w:val="21"/>
                                              <w:lang w:eastAsia="en-US"/>
                                            </w:rPr>
                                            <w:t>travail dans l’avenant au contrat de travail, dès lors que le volume hebdomadaire des heures de travail durant lesquelles le salarié est mis à disposition est indiqué. A compter du 1er janvier 2021, les entreprises prêteuses qui ont recours à l’activité partielle pourront ne refacturer aux entreprises d’accueil qu’une partie du coût du salarié mis à disposition. L’ensemble des secteurs peuvent être bénéficiaires de ces prêts de main d’œuvre. Ces dispositions vont faciliter le recours à un dispositif gagnant-gagnant, pour le salarié, qui est maintenu en emploi, et pour les entreprises, qui peuvent rapidement s’adapter aux variations d’activité.</w:t>
                                          </w:r>
                                          <w:r>
                                            <w:rPr>
                                              <w:rFonts w:ascii="TimesNewRomanPSMT" w:hAnsi="TimesNewRomanPSMT"/>
                                              <w:lang w:eastAsia="en-US"/>
                                            </w:rPr>
                                            <w:t xml:space="preserve"> </w:t>
                                          </w:r>
                                        </w:p>
                                      </w:tc>
                                    </w:tr>
                                  </w:tbl>
                                  <w:tbl>
                                    <w:tblPr>
                                      <w:tblW w:w="0" w:type="auto"/>
                                      <w:jc w:val="center"/>
                                      <w:tblCellMar>
                                        <w:left w:w="0" w:type="dxa"/>
                                        <w:right w:w="0" w:type="dxa"/>
                                      </w:tblCellMar>
                                      <w:tblLook w:val="04A0" w:firstRow="1" w:lastRow="0" w:firstColumn="1" w:lastColumn="0" w:noHBand="0" w:noVBand="1"/>
                                    </w:tblPr>
                                    <w:tblGrid>
                                      <w:gridCol w:w="34"/>
                                    </w:tblGrid>
                                    <w:tr w:rsidR="00B03BF6" w14:paraId="3B301AA2" w14:textId="77777777">
                                      <w:trPr>
                                        <w:trHeight w:val="150"/>
                                        <w:jc w:val="center"/>
                                      </w:trPr>
                                      <w:tc>
                                        <w:tcPr>
                                          <w:tcW w:w="0" w:type="auto"/>
                                          <w:vAlign w:val="center"/>
                                          <w:hideMark/>
                                        </w:tcPr>
                                        <w:p w14:paraId="76CD407E" w14:textId="77777777" w:rsidR="00B03BF6" w:rsidRDefault="00B03BF6">
                                          <w:pPr>
                                            <w:spacing w:line="150" w:lineRule="exact"/>
                                            <w:jc w:val="both"/>
                                          </w:pPr>
                                          <w:r>
                                            <w:rPr>
                                              <w:sz w:val="15"/>
                                              <w:szCs w:val="15"/>
                                              <w:lang w:eastAsia="en-US"/>
                                            </w:rPr>
                                            <w:lastRenderedPageBreak/>
                                            <w:t xml:space="preserve">  </w:t>
                                          </w:r>
                                        </w:p>
                                      </w:tc>
                                    </w:tr>
                                  </w:tbl>
                                  <w:p w14:paraId="3F7A923E" w14:textId="77777777" w:rsidR="00B03BF6" w:rsidRDefault="00B03BF6">
                                    <w:pPr>
                                      <w:jc w:val="center"/>
                                      <w:rPr>
                                        <w:rFonts w:ascii="Times New Roman" w:eastAsia="Times New Roman" w:hAnsi="Times New Roman" w:cs="Times New Roman"/>
                                        <w:sz w:val="20"/>
                                        <w:szCs w:val="20"/>
                                      </w:rPr>
                                    </w:pPr>
                                  </w:p>
                                </w:tc>
                              </w:tr>
                            </w:tbl>
                            <w:p w14:paraId="7CC6EB80" w14:textId="77777777" w:rsidR="00B03BF6" w:rsidRDefault="00B03BF6">
                              <w:pPr>
                                <w:rPr>
                                  <w:rFonts w:ascii="Times New Roman" w:eastAsia="Times New Roman" w:hAnsi="Times New Roman" w:cs="Times New Roman"/>
                                  <w:sz w:val="20"/>
                                  <w:szCs w:val="20"/>
                                </w:rPr>
                              </w:pPr>
                            </w:p>
                          </w:tc>
                        </w:tr>
                      </w:tbl>
                      <w:p w14:paraId="63463C23" w14:textId="77777777" w:rsidR="00B03BF6" w:rsidRDefault="00B03BF6">
                        <w:pPr>
                          <w:jc w:val="center"/>
                          <w:rPr>
                            <w:rFonts w:ascii="Times New Roman" w:eastAsia="Times New Roman" w:hAnsi="Times New Roman" w:cs="Times New Roman"/>
                            <w:sz w:val="20"/>
                            <w:szCs w:val="20"/>
                          </w:rPr>
                        </w:pPr>
                      </w:p>
                    </w:tc>
                  </w:tr>
                </w:tbl>
                <w:p w14:paraId="32035E42" w14:textId="77777777" w:rsidR="00B03BF6" w:rsidRDefault="00B03BF6">
                  <w:pPr>
                    <w:jc w:val="center"/>
                    <w:rPr>
                      <w:rFonts w:ascii="Times New Roman" w:eastAsia="Times New Roman" w:hAnsi="Times New Roman" w:cs="Times New Roman"/>
                      <w:sz w:val="20"/>
                      <w:szCs w:val="20"/>
                    </w:rPr>
                  </w:pPr>
                </w:p>
              </w:tc>
              <w:tc>
                <w:tcPr>
                  <w:tcW w:w="132" w:type="dxa"/>
                  <w:shd w:val="clear" w:color="auto" w:fill="FFFFFF"/>
                  <w:vAlign w:val="center"/>
                  <w:hideMark/>
                </w:tcPr>
                <w:p w14:paraId="4643D1AF" w14:textId="77777777" w:rsidR="00B03BF6" w:rsidRDefault="00B03BF6">
                  <w:pPr>
                    <w:rPr>
                      <w:rFonts w:ascii="Times New Roman" w:eastAsia="Times New Roman" w:hAnsi="Times New Roman" w:cs="Times New Roman"/>
                      <w:sz w:val="20"/>
                      <w:szCs w:val="20"/>
                    </w:rPr>
                  </w:pPr>
                </w:p>
              </w:tc>
            </w:tr>
          </w:tbl>
          <w:p w14:paraId="6FB29F6E" w14:textId="77777777" w:rsidR="00B03BF6" w:rsidRDefault="00B03BF6">
            <w:pPr>
              <w:rPr>
                <w:rFonts w:ascii="Times New Roman" w:eastAsia="Times New Roman" w:hAnsi="Times New Roman" w:cs="Times New Roman"/>
                <w:sz w:val="20"/>
                <w:szCs w:val="20"/>
              </w:rPr>
            </w:pPr>
          </w:p>
        </w:tc>
      </w:tr>
    </w:tbl>
    <w:p w14:paraId="04FECC2F" w14:textId="77777777" w:rsidR="00B03BF6" w:rsidRDefault="00B03BF6" w:rsidP="00B03BF6">
      <w:pPr>
        <w:spacing w:line="252" w:lineRule="auto"/>
      </w:pPr>
      <w:r>
        <w:rPr>
          <w:lang w:eastAsia="en-US"/>
        </w:rPr>
        <w:lastRenderedPageBreak/>
        <w:t> </w:t>
      </w:r>
    </w:p>
    <w:tbl>
      <w:tblPr>
        <w:tblW w:w="5000" w:type="pct"/>
        <w:tblCellMar>
          <w:left w:w="0" w:type="dxa"/>
          <w:right w:w="0" w:type="dxa"/>
        </w:tblCellMar>
        <w:tblLook w:val="04A0" w:firstRow="1" w:lastRow="0" w:firstColumn="1" w:lastColumn="0" w:noHBand="0" w:noVBand="1"/>
      </w:tblPr>
      <w:tblGrid>
        <w:gridCol w:w="9072"/>
      </w:tblGrid>
      <w:tr w:rsidR="00B03BF6" w14:paraId="64A2BDD9"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B03BF6" w14:paraId="24C79413" w14:textId="77777777">
              <w:tc>
                <w:tcPr>
                  <w:tcW w:w="150" w:type="dxa"/>
                  <w:shd w:val="clear" w:color="auto" w:fill="FFFFFF"/>
                  <w:vAlign w:val="center"/>
                  <w:hideMark/>
                </w:tcPr>
                <w:p w14:paraId="3DEBD9E0" w14:textId="77777777" w:rsidR="00B03BF6" w:rsidRDefault="00B03BF6"/>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B03BF6" w14:paraId="5D9FD7AD"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B03BF6" w14:paraId="33B173B8" w14:textId="7777777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B03BF6" w14:paraId="6CF9EE5D" w14:textId="77777777">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4927"/>
                                    </w:tblGrid>
                                    <w:tr w:rsidR="00B03BF6" w14:paraId="2748E47E" w14:textId="77777777">
                                      <w:tc>
                                        <w:tcPr>
                                          <w:tcW w:w="0" w:type="auto"/>
                                          <w:vAlign w:val="center"/>
                                          <w:hideMark/>
                                        </w:tcPr>
                                        <w:p w14:paraId="1C124610" w14:textId="77777777" w:rsidR="00B03BF6" w:rsidRDefault="00B03BF6">
                                          <w:pPr>
                                            <w:pStyle w:val="NormalWeb"/>
                                            <w:spacing w:before="0" w:beforeAutospacing="0" w:after="0" w:afterAutospacing="0" w:line="330" w:lineRule="exact"/>
                                            <w:rPr>
                                              <w:rFonts w:eastAsiaTheme="minorHAnsi"/>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 Mme Elisabeth Borne</w:t>
                                          </w:r>
                                        </w:p>
                                        <w:p w14:paraId="04168592" w14:textId="77777777" w:rsidR="00B03BF6" w:rsidRDefault="00B03BF6">
                                          <w:pPr>
                                            <w:pStyle w:val="NormalWeb"/>
                                            <w:spacing w:before="0" w:beforeAutospacing="0" w:after="0" w:afterAutospacing="0" w:line="390" w:lineRule="exact"/>
                                          </w:pPr>
                                          <w:r>
                                            <w:rPr>
                                              <w:rFonts w:ascii="Arial" w:hAnsi="Arial" w:cs="Arial"/>
                                              <w:color w:val="393939"/>
                                              <w:sz w:val="18"/>
                                              <w:szCs w:val="18"/>
                                              <w:lang w:eastAsia="en-US"/>
                                            </w:rPr>
                                            <w:t>Tél : 01 49 55 32 21</w:t>
                                          </w:r>
                                        </w:p>
                                        <w:p w14:paraId="6F0ED687" w14:textId="77777777" w:rsidR="00B03BF6" w:rsidRDefault="00B03BF6">
                                          <w:pPr>
                                            <w:pStyle w:val="NormalWeb"/>
                                            <w:spacing w:before="0" w:beforeAutospacing="0" w:after="0" w:afterAutospacing="0" w:line="390" w:lineRule="exact"/>
                                          </w:pPr>
                                          <w:r>
                                            <w:rPr>
                                              <w:rFonts w:ascii="Arial" w:hAnsi="Arial" w:cs="Arial"/>
                                              <w:color w:val="393939"/>
                                              <w:sz w:val="18"/>
                                              <w:szCs w:val="18"/>
                                              <w:lang w:eastAsia="en-US"/>
                                            </w:rPr>
                                            <w:t xml:space="preserve">Mél : </w:t>
                                          </w:r>
                                          <w:hyperlink r:id="rId10" w:tgtFrame="_blank" w:history="1">
                                            <w:r>
                                              <w:rPr>
                                                <w:rStyle w:val="Lienhypertexte"/>
                                                <w:rFonts w:ascii="Arial" w:hAnsi="Arial" w:cs="Arial"/>
                                                <w:color w:val="0595D6"/>
                                                <w:sz w:val="18"/>
                                                <w:szCs w:val="18"/>
                                                <w:lang w:eastAsia="en-US"/>
                                              </w:rPr>
                                              <w:t>sec.presse.travail@cab.travail.gouv.fr</w:t>
                                            </w:r>
                                          </w:hyperlink>
                                        </w:p>
                                      </w:tc>
                                    </w:tr>
                                  </w:tbl>
                                  <w:p w14:paraId="32727B88" w14:textId="77777777" w:rsidR="00B03BF6" w:rsidRDefault="00B03BF6">
                                    <w:pPr>
                                      <w:rPr>
                                        <w:rFonts w:ascii="Times New Roman" w:eastAsia="Times New Roman" w:hAnsi="Times New Roman" w:cs="Times New Roman"/>
                                        <w:sz w:val="20"/>
                                        <w:szCs w:val="20"/>
                                      </w:rPr>
                                    </w:pPr>
                                  </w:p>
                                </w:tc>
                              </w:tr>
                            </w:tbl>
                            <w:p w14:paraId="4B3A5D72" w14:textId="77777777" w:rsidR="00B03BF6" w:rsidRDefault="00B03BF6">
                              <w:pPr>
                                <w:rPr>
                                  <w:rFonts w:ascii="Times New Roman" w:eastAsia="Times New Roman" w:hAnsi="Times New Roman" w:cs="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B03BF6" w14:paraId="2019AD49"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23"/>
                                    </w:tblGrid>
                                    <w:tr w:rsidR="00B03BF6" w14:paraId="716521DA" w14:textId="77777777">
                                      <w:trPr>
                                        <w:trHeight w:val="540"/>
                                        <w:jc w:val="center"/>
                                      </w:trPr>
                                      <w:tc>
                                        <w:tcPr>
                                          <w:tcW w:w="0" w:type="auto"/>
                                          <w:vAlign w:val="center"/>
                                          <w:hideMark/>
                                        </w:tcPr>
                                        <w:p w14:paraId="191FBB67" w14:textId="77777777" w:rsidR="00B03BF6" w:rsidRDefault="00B03BF6">
                                          <w:pPr>
                                            <w:spacing w:line="540" w:lineRule="exact"/>
                                          </w:pPr>
                                          <w:r>
                                            <w:rPr>
                                              <w:sz w:val="54"/>
                                              <w:szCs w:val="54"/>
                                              <w:lang w:eastAsia="en-US"/>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2700"/>
                                    </w:tblGrid>
                                    <w:tr w:rsidR="00B03BF6" w14:paraId="3D621822" w14:textId="77777777">
                                      <w:tc>
                                        <w:tcPr>
                                          <w:tcW w:w="0" w:type="auto"/>
                                          <w:vAlign w:val="center"/>
                                          <w:hideMark/>
                                        </w:tcPr>
                                        <w:p w14:paraId="4FD09451" w14:textId="77777777" w:rsidR="00B03BF6" w:rsidRDefault="00B03BF6">
                                          <w:pPr>
                                            <w:pStyle w:val="NormalWeb"/>
                                            <w:spacing w:before="0" w:beforeAutospacing="0" w:after="0" w:afterAutospacing="0" w:line="330" w:lineRule="exact"/>
                                            <w:jc w:val="right"/>
                                            <w:rPr>
                                              <w:rFonts w:eastAsiaTheme="minorHAnsi"/>
                                            </w:rPr>
                                          </w:pPr>
                                          <w:r>
                                            <w:rPr>
                                              <w:rFonts w:ascii="Arial" w:hAnsi="Arial" w:cs="Arial"/>
                                              <w:color w:val="000000"/>
                                              <w:sz w:val="18"/>
                                              <w:szCs w:val="18"/>
                                              <w:lang w:eastAsia="en-US"/>
                                            </w:rPr>
                                            <w:t>127 rue de Grenelle</w:t>
                                          </w:r>
                                        </w:p>
                                        <w:p w14:paraId="0FD6C577" w14:textId="77777777" w:rsidR="00B03BF6" w:rsidRDefault="00B03BF6">
                                          <w:pPr>
                                            <w:pStyle w:val="NormalWeb"/>
                                            <w:spacing w:before="0" w:beforeAutospacing="0" w:after="0" w:afterAutospacing="0" w:line="330" w:lineRule="exact"/>
                                            <w:jc w:val="right"/>
                                          </w:pPr>
                                          <w:r>
                                            <w:rPr>
                                              <w:rFonts w:ascii="Arial" w:hAnsi="Arial" w:cs="Arial"/>
                                              <w:color w:val="000000"/>
                                              <w:sz w:val="18"/>
                                              <w:szCs w:val="18"/>
                                              <w:lang w:eastAsia="en-US"/>
                                            </w:rPr>
                                            <w:t>75007 Paris</w:t>
                                          </w:r>
                                        </w:p>
                                      </w:tc>
                                    </w:tr>
                                  </w:tbl>
                                  <w:p w14:paraId="7744A923" w14:textId="77777777" w:rsidR="00B03BF6" w:rsidRDefault="00B03BF6">
                                    <w:pPr>
                                      <w:rPr>
                                        <w:rFonts w:ascii="Times New Roman" w:eastAsia="Times New Roman" w:hAnsi="Times New Roman" w:cs="Times New Roman"/>
                                        <w:sz w:val="20"/>
                                        <w:szCs w:val="20"/>
                                      </w:rPr>
                                    </w:pPr>
                                  </w:p>
                                </w:tc>
                              </w:tr>
                            </w:tbl>
                            <w:p w14:paraId="14198FE1" w14:textId="77777777" w:rsidR="00B03BF6" w:rsidRDefault="00B03BF6">
                              <w:pPr>
                                <w:rPr>
                                  <w:rFonts w:ascii="Times New Roman" w:eastAsia="Times New Roman" w:hAnsi="Times New Roman" w:cs="Times New Roman"/>
                                  <w:sz w:val="20"/>
                                  <w:szCs w:val="20"/>
                                </w:rPr>
                              </w:pPr>
                            </w:p>
                          </w:tc>
                        </w:tr>
                      </w:tbl>
                      <w:p w14:paraId="39B13089" w14:textId="77777777" w:rsidR="00B03BF6" w:rsidRDefault="00B03BF6">
                        <w:pPr>
                          <w:jc w:val="center"/>
                          <w:rPr>
                            <w:rFonts w:ascii="Times New Roman" w:eastAsia="Times New Roman" w:hAnsi="Times New Roman" w:cs="Times New Roman"/>
                            <w:sz w:val="20"/>
                            <w:szCs w:val="20"/>
                          </w:rPr>
                        </w:pPr>
                      </w:p>
                    </w:tc>
                  </w:tr>
                </w:tbl>
                <w:p w14:paraId="5821F4DE"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29BBCD81" w14:textId="77777777" w:rsidR="00B03BF6" w:rsidRDefault="00B03BF6">
                  <w:pPr>
                    <w:rPr>
                      <w:rFonts w:ascii="Times New Roman" w:eastAsia="Times New Roman" w:hAnsi="Times New Roman" w:cs="Times New Roman"/>
                      <w:sz w:val="20"/>
                      <w:szCs w:val="20"/>
                    </w:rPr>
                  </w:pPr>
                </w:p>
              </w:tc>
            </w:tr>
          </w:tbl>
          <w:p w14:paraId="178857F3" w14:textId="77777777" w:rsidR="00B03BF6" w:rsidRDefault="00B03BF6">
            <w:pPr>
              <w:rPr>
                <w:rFonts w:ascii="Times New Roman" w:eastAsia="Times New Roman" w:hAnsi="Times New Roman" w:cs="Times New Roman"/>
                <w:sz w:val="20"/>
                <w:szCs w:val="20"/>
              </w:rPr>
            </w:pPr>
          </w:p>
        </w:tc>
      </w:tr>
      <w:tr w:rsidR="00B03BF6" w14:paraId="7A3663E4"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B03BF6" w14:paraId="6FB2733D" w14:textId="77777777">
              <w:tc>
                <w:tcPr>
                  <w:tcW w:w="150" w:type="dxa"/>
                  <w:shd w:val="clear" w:color="auto" w:fill="FFFFFF"/>
                  <w:vAlign w:val="center"/>
                  <w:hideMark/>
                </w:tcPr>
                <w:p w14:paraId="525A0CFD" w14:textId="77777777" w:rsidR="00B03BF6" w:rsidRDefault="00B03BF6">
                  <w:pPr>
                    <w:rPr>
                      <w:rFonts w:ascii="Times New Roman" w:eastAsia="Times New Roman" w:hAnsi="Times New Roman" w:cs="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B03BF6" w14:paraId="2F9BED9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11"/>
                          <w:gridCol w:w="3289"/>
                        </w:tblGrid>
                        <w:tr w:rsidR="00B03BF6" w14:paraId="14DC005C" w14:textId="77777777">
                          <w:trPr>
                            <w:jc w:val="center"/>
                          </w:trPr>
                          <w:tc>
                            <w:tcPr>
                              <w:tcW w:w="3100" w:type="pct"/>
                              <w:hideMark/>
                            </w:tcPr>
                            <w:p w14:paraId="63B139F9" w14:textId="77777777" w:rsidR="00B03BF6" w:rsidRDefault="00B03BF6">
                              <w:pPr>
                                <w:spacing w:line="252" w:lineRule="auto"/>
                              </w:pPr>
                              <w:r>
                                <w:rPr>
                                  <w:sz w:val="20"/>
                                  <w:szCs w:val="20"/>
                                  <w:lang w:eastAsia="en-US"/>
                                </w:rPr>
                                <w:t> </w:t>
                              </w:r>
                            </w:p>
                          </w:tc>
                          <w:tc>
                            <w:tcPr>
                              <w:tcW w:w="1850" w:type="pct"/>
                              <w:hideMark/>
                            </w:tcPr>
                            <w:p w14:paraId="2109ED29" w14:textId="77777777" w:rsidR="00B03BF6" w:rsidRDefault="00B03BF6">
                              <w:pPr>
                                <w:spacing w:line="252" w:lineRule="auto"/>
                              </w:pPr>
                              <w:r>
                                <w:rPr>
                                  <w:sz w:val="20"/>
                                  <w:szCs w:val="20"/>
                                  <w:lang w:eastAsia="en-US"/>
                                </w:rPr>
                                <w:t> </w:t>
                              </w:r>
                            </w:p>
                          </w:tc>
                        </w:tr>
                      </w:tbl>
                      <w:p w14:paraId="57068151" w14:textId="77777777" w:rsidR="00B03BF6" w:rsidRDefault="00B03BF6">
                        <w:pPr>
                          <w:jc w:val="center"/>
                          <w:rPr>
                            <w:rFonts w:ascii="Times New Roman" w:eastAsia="Times New Roman" w:hAnsi="Times New Roman" w:cs="Times New Roman"/>
                            <w:sz w:val="20"/>
                            <w:szCs w:val="20"/>
                          </w:rPr>
                        </w:pPr>
                      </w:p>
                    </w:tc>
                  </w:tr>
                </w:tbl>
                <w:p w14:paraId="0BF6D303"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1709D80F" w14:textId="77777777" w:rsidR="00B03BF6" w:rsidRDefault="00B03BF6">
                  <w:pPr>
                    <w:rPr>
                      <w:rFonts w:ascii="Times New Roman" w:eastAsia="Times New Roman" w:hAnsi="Times New Roman" w:cs="Times New Roman"/>
                      <w:sz w:val="20"/>
                      <w:szCs w:val="20"/>
                    </w:rPr>
                  </w:pPr>
                </w:p>
              </w:tc>
            </w:tr>
          </w:tbl>
          <w:p w14:paraId="2BFBE96A" w14:textId="77777777" w:rsidR="00B03BF6" w:rsidRDefault="00B03BF6">
            <w:pPr>
              <w:rPr>
                <w:rFonts w:ascii="Times New Roman" w:eastAsia="Times New Roman" w:hAnsi="Times New Roman" w:cs="Times New Roman"/>
                <w:sz w:val="20"/>
                <w:szCs w:val="20"/>
              </w:rPr>
            </w:pPr>
          </w:p>
        </w:tc>
      </w:tr>
    </w:tbl>
    <w:p w14:paraId="13A3209C" w14:textId="77777777" w:rsidR="00B03BF6" w:rsidRDefault="00B03BF6" w:rsidP="00B03BF6">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B03BF6" w14:paraId="5E6E6471" w14:textId="77777777" w:rsidTr="00B03BF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03BF6" w14:paraId="3E76F441" w14:textId="77777777">
              <w:tc>
                <w:tcPr>
                  <w:tcW w:w="150" w:type="dxa"/>
                  <w:shd w:val="clear" w:color="auto" w:fill="FFFFFF"/>
                  <w:vAlign w:val="center"/>
                  <w:hideMark/>
                </w:tcPr>
                <w:p w14:paraId="7426C108" w14:textId="77777777" w:rsidR="00B03BF6" w:rsidRDefault="00B03BF6"/>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03BF6" w14:paraId="322C05D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03BF6" w14:paraId="14EA49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03BF6" w14:paraId="7EC632F7" w14:textId="77777777">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9"/>
                                    </w:tblGrid>
                                    <w:tr w:rsidR="00B03BF6" w14:paraId="58E1320D" w14:textId="77777777">
                                      <w:tc>
                                        <w:tcPr>
                                          <w:tcW w:w="0" w:type="auto"/>
                                          <w:vAlign w:val="center"/>
                                          <w:hideMark/>
                                        </w:tcPr>
                                        <w:p w14:paraId="0DC8513C" w14:textId="77777777" w:rsidR="00B03BF6" w:rsidRDefault="00B03BF6">
                                          <w:pPr>
                                            <w:pStyle w:val="NormalWeb"/>
                                            <w:spacing w:before="0" w:beforeAutospacing="0" w:after="0" w:afterAutospacing="0" w:line="225" w:lineRule="exact"/>
                                            <w:jc w:val="center"/>
                                            <w:rPr>
                                              <w:rFonts w:eastAsiaTheme="minorHAnsi"/>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1"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14:paraId="524A12F5" w14:textId="77777777" w:rsidR="00B03BF6" w:rsidRDefault="00B03BF6">
                                    <w:pPr>
                                      <w:rPr>
                                        <w:rFonts w:ascii="Times New Roman" w:eastAsia="Times New Roman" w:hAnsi="Times New Roman" w:cs="Times New Roman"/>
                                        <w:sz w:val="20"/>
                                        <w:szCs w:val="20"/>
                                      </w:rPr>
                                    </w:pPr>
                                  </w:p>
                                </w:tc>
                              </w:tr>
                            </w:tbl>
                            <w:p w14:paraId="149E3880" w14:textId="77777777" w:rsidR="00B03BF6" w:rsidRDefault="00B03BF6">
                              <w:pPr>
                                <w:rPr>
                                  <w:rFonts w:ascii="Times New Roman" w:eastAsia="Times New Roman" w:hAnsi="Times New Roman" w:cs="Times New Roman"/>
                                  <w:sz w:val="20"/>
                                  <w:szCs w:val="20"/>
                                </w:rPr>
                              </w:pPr>
                            </w:p>
                          </w:tc>
                        </w:tr>
                      </w:tbl>
                      <w:p w14:paraId="7B09631B" w14:textId="77777777" w:rsidR="00B03BF6" w:rsidRDefault="00B03BF6">
                        <w:pPr>
                          <w:jc w:val="center"/>
                          <w:rPr>
                            <w:rFonts w:ascii="Times New Roman" w:eastAsia="Times New Roman" w:hAnsi="Times New Roman" w:cs="Times New Roman"/>
                            <w:sz w:val="20"/>
                            <w:szCs w:val="20"/>
                          </w:rPr>
                        </w:pPr>
                      </w:p>
                    </w:tc>
                  </w:tr>
                </w:tbl>
                <w:p w14:paraId="5DE996EC" w14:textId="77777777" w:rsidR="00B03BF6" w:rsidRDefault="00B03BF6">
                  <w:pPr>
                    <w:jc w:val="center"/>
                    <w:rPr>
                      <w:rFonts w:ascii="Times New Roman" w:eastAsia="Times New Roman" w:hAnsi="Times New Roman" w:cs="Times New Roman"/>
                      <w:sz w:val="20"/>
                      <w:szCs w:val="20"/>
                    </w:rPr>
                  </w:pPr>
                </w:p>
              </w:tc>
              <w:tc>
                <w:tcPr>
                  <w:tcW w:w="150" w:type="dxa"/>
                  <w:shd w:val="clear" w:color="auto" w:fill="FFFFFF"/>
                  <w:vAlign w:val="center"/>
                  <w:hideMark/>
                </w:tcPr>
                <w:p w14:paraId="654FB8F1" w14:textId="77777777" w:rsidR="00B03BF6" w:rsidRDefault="00B03BF6">
                  <w:pPr>
                    <w:rPr>
                      <w:rFonts w:ascii="Times New Roman" w:eastAsia="Times New Roman" w:hAnsi="Times New Roman" w:cs="Times New Roman"/>
                      <w:sz w:val="20"/>
                      <w:szCs w:val="20"/>
                    </w:rPr>
                  </w:pPr>
                </w:p>
              </w:tc>
            </w:tr>
          </w:tbl>
          <w:p w14:paraId="7485415E" w14:textId="77777777" w:rsidR="00B03BF6" w:rsidRDefault="00B03BF6">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B03BF6" w14:paraId="569B8C63" w14:textId="77777777">
              <w:trPr>
                <w:trHeight w:val="150"/>
              </w:trPr>
              <w:tc>
                <w:tcPr>
                  <w:tcW w:w="9750" w:type="dxa"/>
                  <w:shd w:val="clear" w:color="auto" w:fill="FFFFFF"/>
                  <w:tcMar>
                    <w:top w:w="0" w:type="dxa"/>
                    <w:left w:w="150" w:type="dxa"/>
                    <w:bottom w:w="0" w:type="dxa"/>
                    <w:right w:w="150" w:type="dxa"/>
                  </w:tcMar>
                  <w:vAlign w:val="center"/>
                  <w:hideMark/>
                </w:tcPr>
                <w:p w14:paraId="3729B899" w14:textId="77777777" w:rsidR="00B03BF6" w:rsidRDefault="00B03BF6">
                  <w:pPr>
                    <w:spacing w:line="150" w:lineRule="exact"/>
                  </w:pPr>
                  <w:r>
                    <w:rPr>
                      <w:sz w:val="15"/>
                      <w:szCs w:val="15"/>
                      <w:lang w:eastAsia="en-US"/>
                    </w:rPr>
                    <w:t xml:space="preserve">  </w:t>
                  </w:r>
                </w:p>
              </w:tc>
            </w:tr>
          </w:tbl>
          <w:p w14:paraId="2865A4C2" w14:textId="77777777" w:rsidR="00B03BF6" w:rsidRDefault="00B03BF6">
            <w:pPr>
              <w:rPr>
                <w:rFonts w:ascii="Times New Roman" w:eastAsia="Times New Roman" w:hAnsi="Times New Roman" w:cs="Times New Roman"/>
                <w:sz w:val="20"/>
                <w:szCs w:val="20"/>
              </w:rPr>
            </w:pPr>
          </w:p>
        </w:tc>
      </w:tr>
    </w:tbl>
    <w:p w14:paraId="672A6659" w14:textId="3E01478B" w:rsidR="0058312D" w:rsidRDefault="0058312D" w:rsidP="00B03BF6"/>
    <w:sectPr w:rsidR="00583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7AED"/>
    <w:multiLevelType w:val="hybridMultilevel"/>
    <w:tmpl w:val="47E20DD0"/>
    <w:lvl w:ilvl="0" w:tplc="E446E1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18C1E"/>
    <w:rsid w:val="001616AE"/>
    <w:rsid w:val="00164323"/>
    <w:rsid w:val="002C42B3"/>
    <w:rsid w:val="002C6DF5"/>
    <w:rsid w:val="00361C43"/>
    <w:rsid w:val="003A31B5"/>
    <w:rsid w:val="003E2686"/>
    <w:rsid w:val="00410AAF"/>
    <w:rsid w:val="00451833"/>
    <w:rsid w:val="0058312D"/>
    <w:rsid w:val="0076556F"/>
    <w:rsid w:val="00894083"/>
    <w:rsid w:val="00A05DF3"/>
    <w:rsid w:val="00A14DAA"/>
    <w:rsid w:val="00B03BF6"/>
    <w:rsid w:val="00BB6C30"/>
    <w:rsid w:val="00E8240E"/>
    <w:rsid w:val="00F5337B"/>
    <w:rsid w:val="00F65012"/>
    <w:rsid w:val="00FA49BB"/>
    <w:rsid w:val="5C718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E91"/>
  <w15:chartTrackingRefBased/>
  <w15:docId w15:val="{FA41C973-D316-46AC-B489-CA3710F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F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DF3"/>
    <w:pPr>
      <w:ind w:left="720"/>
    </w:pPr>
  </w:style>
  <w:style w:type="paragraph" w:styleId="NormalWeb">
    <w:name w:val="Normal (Web)"/>
    <w:basedOn w:val="Normal"/>
    <w:uiPriority w:val="99"/>
    <w:semiHidden/>
    <w:unhideWhenUsed/>
    <w:rsid w:val="00A05DF3"/>
    <w:pPr>
      <w:spacing w:before="100" w:beforeAutospacing="1" w:after="100" w:afterAutospacing="1"/>
    </w:pPr>
    <w:rPr>
      <w:rFonts w:ascii="Times New Roman" w:eastAsia="Times New Roman" w:hAnsi="Times New Roman" w:cs="Times New Roman"/>
      <w:sz w:val="24"/>
      <w:szCs w:val="24"/>
    </w:rPr>
  </w:style>
  <w:style w:type="paragraph" w:styleId="Corpsdetexte">
    <w:name w:val="Body Text"/>
    <w:basedOn w:val="Normal"/>
    <w:link w:val="CorpsdetexteCar"/>
    <w:uiPriority w:val="1"/>
    <w:qFormat/>
    <w:rsid w:val="00BB6C30"/>
    <w:pPr>
      <w:widowControl w:val="0"/>
      <w:autoSpaceDE w:val="0"/>
      <w:autoSpaceDN w:val="0"/>
      <w:spacing w:line="276" w:lineRule="auto"/>
    </w:pPr>
    <w:rPr>
      <w:rFonts w:ascii="Arial" w:eastAsia="Arial" w:hAnsi="Arial" w:cs="Arial"/>
      <w:sz w:val="20"/>
      <w:lang w:eastAsia="en-US"/>
    </w:rPr>
  </w:style>
  <w:style w:type="character" w:customStyle="1" w:styleId="CorpsdetexteCar">
    <w:name w:val="Corps de texte Car"/>
    <w:basedOn w:val="Policepardfaut"/>
    <w:link w:val="Corpsdetexte"/>
    <w:uiPriority w:val="1"/>
    <w:rsid w:val="00BB6C30"/>
    <w:rPr>
      <w:rFonts w:ascii="Arial" w:eastAsia="Arial" w:hAnsi="Arial" w:cs="Arial"/>
      <w:sz w:val="20"/>
    </w:rPr>
  </w:style>
  <w:style w:type="character" w:styleId="Lienhypertexte">
    <w:name w:val="Hyperlink"/>
    <w:basedOn w:val="Policepardfaut"/>
    <w:uiPriority w:val="99"/>
    <w:semiHidden/>
    <w:unhideWhenUsed/>
    <w:rsid w:val="00A14DAA"/>
    <w:rPr>
      <w:color w:val="0563C1"/>
      <w:u w:val="single"/>
    </w:rPr>
  </w:style>
  <w:style w:type="character" w:styleId="lev">
    <w:name w:val="Strong"/>
    <w:basedOn w:val="Policepardfaut"/>
    <w:uiPriority w:val="22"/>
    <w:qFormat/>
    <w:rsid w:val="00A14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793">
      <w:bodyDiv w:val="1"/>
      <w:marLeft w:val="0"/>
      <w:marRight w:val="0"/>
      <w:marTop w:val="0"/>
      <w:marBottom w:val="0"/>
      <w:divBdr>
        <w:top w:val="none" w:sz="0" w:space="0" w:color="auto"/>
        <w:left w:val="none" w:sz="0" w:space="0" w:color="auto"/>
        <w:bottom w:val="none" w:sz="0" w:space="0" w:color="auto"/>
        <w:right w:val="none" w:sz="0" w:space="0" w:color="auto"/>
      </w:divBdr>
    </w:div>
    <w:div w:id="632103722">
      <w:bodyDiv w:val="1"/>
      <w:marLeft w:val="0"/>
      <w:marRight w:val="0"/>
      <w:marTop w:val="0"/>
      <w:marBottom w:val="0"/>
      <w:divBdr>
        <w:top w:val="none" w:sz="0" w:space="0" w:color="auto"/>
        <w:left w:val="none" w:sz="0" w:space="0" w:color="auto"/>
        <w:bottom w:val="none" w:sz="0" w:space="0" w:color="auto"/>
        <w:right w:val="none" w:sz="0" w:space="0" w:color="auto"/>
      </w:divBdr>
    </w:div>
    <w:div w:id="1486818116">
      <w:bodyDiv w:val="1"/>
      <w:marLeft w:val="0"/>
      <w:marRight w:val="0"/>
      <w:marTop w:val="0"/>
      <w:marBottom w:val="0"/>
      <w:divBdr>
        <w:top w:val="none" w:sz="0" w:space="0" w:color="auto"/>
        <w:left w:val="none" w:sz="0" w:space="0" w:color="auto"/>
        <w:bottom w:val="none" w:sz="0" w:space="0" w:color="auto"/>
        <w:right w:val="none" w:sz="0" w:space="0" w:color="auto"/>
      </w:divBdr>
    </w:div>
    <w:div w:id="1568951999">
      <w:bodyDiv w:val="1"/>
      <w:marLeft w:val="0"/>
      <w:marRight w:val="0"/>
      <w:marTop w:val="0"/>
      <w:marBottom w:val="0"/>
      <w:divBdr>
        <w:top w:val="none" w:sz="0" w:space="0" w:color="auto"/>
        <w:left w:val="none" w:sz="0" w:space="0" w:color="auto"/>
        <w:bottom w:val="none" w:sz="0" w:space="0" w:color="auto"/>
        <w:right w:val="none" w:sz="0" w:space="0" w:color="auto"/>
      </w:divBdr>
    </w:div>
    <w:div w:id="1614744853">
      <w:bodyDiv w:val="1"/>
      <w:marLeft w:val="0"/>
      <w:marRight w:val="0"/>
      <w:marTop w:val="0"/>
      <w:marBottom w:val="0"/>
      <w:divBdr>
        <w:top w:val="none" w:sz="0" w:space="0" w:color="auto"/>
        <w:left w:val="none" w:sz="0" w:space="0" w:color="auto"/>
        <w:bottom w:val="none" w:sz="0" w:space="0" w:color="auto"/>
        <w:right w:val="none" w:sz="0" w:space="0" w:color="auto"/>
      </w:divBdr>
    </w:div>
    <w:div w:id="17131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C-RGPD-CAB@ddc.social.gouv.fr" TargetMode="External"/><Relationship Id="rId5" Type="http://schemas.openxmlformats.org/officeDocument/2006/relationships/styles" Target="styles.xml"/><Relationship Id="rId10" Type="http://schemas.openxmlformats.org/officeDocument/2006/relationships/hyperlink" Target="mailto:sec.presse.travail@cab.travail.gouv.fr" TargetMode="External"/><Relationship Id="rId4" Type="http://schemas.openxmlformats.org/officeDocument/2006/relationships/numbering" Target="numbering.xml"/><Relationship Id="rId9" Type="http://schemas.openxmlformats.org/officeDocument/2006/relationships/image" Target="cid:image001.png@01D6D4A7.3B61C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8A6146B997C49995CCADF397C69E1" ma:contentTypeVersion="" ma:contentTypeDescription="Crée un document." ma:contentTypeScope="" ma:versionID="959e4a5fa3b8d5989a3712b8efff143e">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F1D1F-513D-4D73-8613-AF2337BA900F}">
  <ds:schemaRefs>
    <ds:schemaRef ds:uri="http://schemas.microsoft.com/sharepoint/v3/contenttype/forms"/>
  </ds:schemaRefs>
</ds:datastoreItem>
</file>

<file path=customXml/itemProps2.xml><?xml version="1.0" encoding="utf-8"?>
<ds:datastoreItem xmlns:ds="http://schemas.openxmlformats.org/officeDocument/2006/customXml" ds:itemID="{2D336776-3F5F-4E03-A6F3-D8E55A71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DCA8C-1245-4D0F-8303-1770966BD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OUTTERS-PEREHINEC, Maroussia (DGT)</dc:creator>
  <cp:keywords/>
  <dc:description/>
  <cp:lastModifiedBy>PINATEL-IGOA, Florence (DICOM/BUREAU DE LA COMMUNICATION DIGITALE)</cp:lastModifiedBy>
  <cp:revision>2</cp:revision>
  <cp:lastPrinted>2020-12-17T18:01:00Z</cp:lastPrinted>
  <dcterms:created xsi:type="dcterms:W3CDTF">2020-12-17T18:18:00Z</dcterms:created>
  <dcterms:modified xsi:type="dcterms:W3CDTF">2020-12-17T18:18:00Z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0x0101008358A6146B997C49995CCADF397C69E1</vt:lpwstr>
  </property>
</Properties>
</file>