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9138B9" w:rsidTr="009138B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9138B9">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9138B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138B9">
                          <w:tc>
                            <w:tcPr>
                              <w:tcW w:w="150" w:type="dxa"/>
                              <w:vAlign w:val="center"/>
                              <w:hideMark/>
                            </w:tcPr>
                            <w:p w:rsidR="009138B9" w:rsidRDefault="009138B9">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138B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138B9">
                                            <w:tc>
                                              <w:tcPr>
                                                <w:tcW w:w="0" w:type="auto"/>
                                                <w:tcMar>
                                                  <w:top w:w="300" w:type="dxa"/>
                                                  <w:left w:w="300" w:type="dxa"/>
                                                  <w:bottom w:w="75" w:type="dxa"/>
                                                  <w:right w:w="300" w:type="dxa"/>
                                                </w:tcMar>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r w:rsidR="009138B9">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138B9">
                          <w:trPr>
                            <w:trHeight w:val="150"/>
                          </w:trPr>
                          <w:tc>
                            <w:tcPr>
                              <w:tcW w:w="9750" w:type="dxa"/>
                              <w:shd w:val="clear" w:color="auto" w:fill="FFFFFF"/>
                              <w:tcMar>
                                <w:top w:w="0" w:type="dxa"/>
                                <w:left w:w="150" w:type="dxa"/>
                                <w:bottom w:w="0" w:type="dxa"/>
                                <w:right w:w="150" w:type="dxa"/>
                              </w:tcMar>
                              <w:vAlign w:val="center"/>
                              <w:hideMark/>
                            </w:tcPr>
                            <w:p w:rsidR="009138B9" w:rsidRDefault="009138B9">
                              <w:pPr>
                                <w:spacing w:line="150" w:lineRule="exact"/>
                                <w:rPr>
                                  <w:rFonts w:eastAsia="Times New Roman"/>
                                  <w:sz w:val="15"/>
                                  <w:szCs w:val="15"/>
                                </w:rPr>
                              </w:pPr>
                              <w:r>
                                <w:rPr>
                                  <w:rFonts w:eastAsia="Times New Roman"/>
                                  <w:sz w:val="15"/>
                                  <w:szCs w:val="15"/>
                                </w:rPr>
                                <w:t xml:space="preserve">  </w:t>
                              </w:r>
                            </w:p>
                          </w:tc>
                        </w:tr>
                      </w:tbl>
                      <w:p w:rsidR="009138B9" w:rsidRDefault="009138B9">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9138B9">
                          <w:trPr>
                            <w:hidden/>
                          </w:trPr>
                          <w:tc>
                            <w:tcPr>
                              <w:tcW w:w="150" w:type="dxa"/>
                              <w:shd w:val="clear" w:color="auto" w:fill="FFFFFF"/>
                              <w:vAlign w:val="center"/>
                              <w:hideMark/>
                            </w:tcPr>
                            <w:p w:rsidR="009138B9" w:rsidRDefault="009138B9">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9138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9138B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9138B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138B9">
                                                        <w:tc>
                                                          <w:tcPr>
                                                            <w:tcW w:w="0" w:type="auto"/>
                                                            <w:vAlign w:val="center"/>
                                                            <w:hideMark/>
                                                          </w:tcPr>
                                                          <w:p w:rsidR="009138B9" w:rsidRDefault="009138B9">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9138B9" w:rsidRDefault="00567B9F">
                                                      <w:pPr>
                                                        <w:rPr>
                                                          <w:rFonts w:eastAsia="Times New Roman"/>
                                                          <w:sz w:val="20"/>
                                                          <w:szCs w:val="20"/>
                                                        </w:rPr>
                                                      </w:pPr>
                                                      <w:r>
                                                        <w:rPr>
                                                          <w:noProof/>
                                                        </w:rPr>
                                                        <w:drawing>
                                                          <wp:anchor distT="0" distB="0" distL="114300" distR="114300" simplePos="0" relativeHeight="251659264" behindDoc="0" locked="0" layoutInCell="1" allowOverlap="1" wp14:anchorId="1EEC0FFE" wp14:editId="612E3B05">
                                                            <wp:simplePos x="0" y="0"/>
                                                            <wp:positionH relativeFrom="column">
                                                              <wp:posOffset>1728470</wp:posOffset>
                                                            </wp:positionH>
                                                            <wp:positionV relativeFrom="paragraph">
                                                              <wp:posOffset>147955</wp:posOffset>
                                                            </wp:positionV>
                                                            <wp:extent cx="3314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138B9" w:rsidRDefault="009138B9">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9138B9">
                                                  <w:trPr>
                                                    <w:trHeight w:val="300"/>
                                                    <w:jc w:val="center"/>
                                                  </w:trPr>
                                                  <w:tc>
                                                    <w:tcPr>
                                                      <w:tcW w:w="0" w:type="auto"/>
                                                      <w:vAlign w:val="center"/>
                                                      <w:hideMark/>
                                                    </w:tcPr>
                                                    <w:p w:rsidR="009138B9" w:rsidRDefault="009138B9">
                                                      <w:pPr>
                                                        <w:spacing w:line="300" w:lineRule="exact"/>
                                                        <w:rPr>
                                                          <w:rFonts w:eastAsia="Times New Roman"/>
                                                          <w:sz w:val="30"/>
                                                          <w:szCs w:val="30"/>
                                                        </w:rPr>
                                                      </w:pPr>
                                                      <w:r>
                                                        <w:rPr>
                                                          <w:rFonts w:eastAsia="Times New Roman"/>
                                                          <w:sz w:val="30"/>
                                                          <w:szCs w:val="30"/>
                                                        </w:rPr>
                                                        <w:t xml:space="preserve">  </w:t>
                                                      </w:r>
                                                    </w:p>
                                                  </w:tc>
                                                </w:tr>
                                              </w:tbl>
                                              <w:p w:rsidR="009138B9" w:rsidRDefault="009138B9">
                                                <w:pPr>
                                                  <w:jc w:val="cente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shd w:val="clear" w:color="auto" w:fill="FFFFFF"/>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9138B9">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138B9">
                          <w:tc>
                            <w:tcPr>
                              <w:tcW w:w="150" w:type="dxa"/>
                              <w:shd w:val="clear" w:color="auto" w:fill="FFFFFF"/>
                              <w:vAlign w:val="center"/>
                              <w:hideMark/>
                            </w:tcPr>
                            <w:p w:rsidR="009138B9" w:rsidRDefault="009138B9">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138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9138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138B9">
                                                  <w:tc>
                                                    <w:tcPr>
                                                      <w:tcW w:w="0" w:type="auto"/>
                                                      <w:vAlign w:val="center"/>
                                                      <w:hideMark/>
                                                    </w:tcPr>
                                                    <w:p w:rsidR="009138B9" w:rsidRDefault="009138B9" w:rsidP="009138B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9138B9">
                                                  <w:trPr>
                                                    <w:trHeight w:val="300"/>
                                                    <w:jc w:val="center"/>
                                                  </w:trPr>
                                                  <w:tc>
                                                    <w:tcPr>
                                                      <w:tcW w:w="0" w:type="auto"/>
                                                      <w:vAlign w:val="center"/>
                                                      <w:hideMark/>
                                                    </w:tcPr>
                                                    <w:p w:rsidR="009138B9" w:rsidRDefault="009138B9">
                                                      <w:pPr>
                                                        <w:spacing w:line="300" w:lineRule="exact"/>
                                                        <w:rPr>
                                                          <w:rFonts w:eastAsia="Times New Roman"/>
                                                          <w:sz w:val="30"/>
                                                          <w:szCs w:val="30"/>
                                                        </w:rPr>
                                                      </w:pPr>
                                                      <w:r>
                                                        <w:rPr>
                                                          <w:rFonts w:eastAsia="Times New Roman"/>
                                                          <w:sz w:val="30"/>
                                                          <w:szCs w:val="30"/>
                                                        </w:rPr>
                                                        <w:t xml:space="preserve">  </w:t>
                                                      </w:r>
                                                    </w:p>
                                                  </w:tc>
                                                </w:tr>
                                              </w:tbl>
                                              <w:p w:rsidR="009138B9" w:rsidRDefault="009138B9">
                                                <w:pPr>
                                                  <w:jc w:val="cente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shd w:val="clear" w:color="auto" w:fill="FFFFFF"/>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r w:rsidR="009138B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9138B9">
                          <w:tc>
                            <w:tcPr>
                              <w:tcW w:w="150" w:type="dxa"/>
                              <w:shd w:val="clear" w:color="auto" w:fill="FFFFFF"/>
                              <w:vAlign w:val="center"/>
                              <w:hideMark/>
                            </w:tcPr>
                            <w:p w:rsidR="009138B9" w:rsidRDefault="009138B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9138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9138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9138B9">
                                                  <w:tc>
                                                    <w:tcPr>
                                                      <w:tcW w:w="0" w:type="auto"/>
                                                      <w:vAlign w:val="center"/>
                                                      <w:hideMark/>
                                                    </w:tcPr>
                                                    <w:p w:rsidR="009138B9" w:rsidRDefault="009138B9">
                                                      <w:pPr>
                                                        <w:pStyle w:val="NormalWeb"/>
                                                        <w:spacing w:before="0" w:beforeAutospacing="0" w:after="0" w:afterAutospacing="0" w:line="390" w:lineRule="exact"/>
                                                        <w:jc w:val="right"/>
                                                        <w:rPr>
                                                          <w:rFonts w:ascii="Arial" w:hAnsi="Arial" w:cs="Arial"/>
                                                          <w:color w:val="393939"/>
                                                          <w:sz w:val="26"/>
                                                          <w:szCs w:val="26"/>
                                                        </w:rPr>
                                                      </w:pPr>
                                                      <w:r w:rsidRPr="00F44836">
                                                        <w:rPr>
                                                          <w:rFonts w:ascii="Arial" w:hAnsi="Arial" w:cs="Arial"/>
                                                          <w:i/>
                                                          <w:color w:val="000000"/>
                                                          <w:sz w:val="18"/>
                                                          <w:szCs w:val="18"/>
                                                        </w:rPr>
                                                        <w:t>Paris, le 06/07/2021</w:t>
                                                      </w:r>
                                                    </w:p>
                                                  </w:tc>
                                                </w:tr>
                                              </w:tbl>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shd w:val="clear" w:color="auto" w:fill="FFFFFF"/>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9138B9">
                    <w:tc>
                      <w:tcPr>
                        <w:tcW w:w="0" w:type="auto"/>
                        <w:vAlign w:val="center"/>
                        <w:hideMark/>
                      </w:tcPr>
                      <w:tbl>
                        <w:tblPr>
                          <w:tblW w:w="0" w:type="auto"/>
                          <w:tblCellMar>
                            <w:left w:w="0" w:type="dxa"/>
                            <w:right w:w="0" w:type="dxa"/>
                          </w:tblCellMar>
                          <w:tblLook w:val="04A0" w:firstRow="1" w:lastRow="0" w:firstColumn="1" w:lastColumn="0" w:noHBand="0" w:noVBand="1"/>
                        </w:tblPr>
                        <w:tblGrid>
                          <w:gridCol w:w="58"/>
                          <w:gridCol w:w="8956"/>
                          <w:gridCol w:w="58"/>
                        </w:tblGrid>
                        <w:tr w:rsidR="009138B9">
                          <w:tc>
                            <w:tcPr>
                              <w:tcW w:w="150" w:type="dxa"/>
                              <w:shd w:val="clear" w:color="auto" w:fill="FFFFFF"/>
                              <w:vAlign w:val="center"/>
                              <w:hideMark/>
                            </w:tcPr>
                            <w:p w:rsidR="009138B9" w:rsidRDefault="009138B9">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56"/>
                              </w:tblGrid>
                              <w:tr w:rsidR="009138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830"/>
                                      <w:gridCol w:w="1126"/>
                                    </w:tblGrid>
                                    <w:tr w:rsidR="009138B9">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7830"/>
                                          </w:tblGrid>
                                          <w:tr w:rsidR="009138B9">
                                            <w:tc>
                                              <w:tcPr>
                                                <w:tcW w:w="0" w:type="auto"/>
                                                <w:tcMar>
                                                  <w:top w:w="300" w:type="dxa"/>
                                                  <w:left w:w="300" w:type="dxa"/>
                                                  <w:bottom w:w="300" w:type="dxa"/>
                                                  <w:right w:w="300" w:type="dxa"/>
                                                </w:tcMar>
                                                <w:vAlign w:val="center"/>
                                                <w:hideMark/>
                                              </w:tcPr>
                                              <w:tbl>
                                                <w:tblPr>
                                                  <w:tblpPr w:vertAnchor="text"/>
                                                  <w:tblW w:w="7230" w:type="dxa"/>
                                                  <w:tblCellMar>
                                                    <w:left w:w="0" w:type="dxa"/>
                                                    <w:right w:w="0" w:type="dxa"/>
                                                  </w:tblCellMar>
                                                  <w:tblLook w:val="04A0" w:firstRow="1" w:lastRow="0" w:firstColumn="1" w:lastColumn="0" w:noHBand="0" w:noVBand="1"/>
                                                </w:tblPr>
                                                <w:tblGrid>
                                                  <w:gridCol w:w="7230"/>
                                                </w:tblGrid>
                                                <w:tr w:rsidR="009138B9" w:rsidTr="009138B9">
                                                  <w:tc>
                                                    <w:tcPr>
                                                      <w:tcW w:w="5000" w:type="pct"/>
                                                      <w:vAlign w:val="center"/>
                                                      <w:hideMark/>
                                                    </w:tcPr>
                                                    <w:p w:rsidR="009138B9" w:rsidRDefault="009138B9" w:rsidP="009138B9">
                                                      <w:pPr>
                                                        <w:pStyle w:val="NormalWeb"/>
                                                        <w:spacing w:before="0" w:beforeAutospacing="0" w:after="0" w:afterAutospacing="0" w:line="330" w:lineRule="exact"/>
                                                        <w:rPr>
                                                          <w:rFonts w:ascii="Arial" w:hAnsi="Arial" w:cs="Arial"/>
                                                          <w:color w:val="393939"/>
                                                          <w:sz w:val="26"/>
                                                          <w:szCs w:val="26"/>
                                                        </w:rPr>
                                                      </w:pPr>
                                                      <w:r w:rsidRPr="009138B9">
                                                        <w:rPr>
                                                          <w:rStyle w:val="lev"/>
                                                          <w:rFonts w:ascii="Arial" w:hAnsi="Arial" w:cs="Arial"/>
                                                          <w:color w:val="393939"/>
                                                        </w:rPr>
                                                        <w:t xml:space="preserve">EIT </w:t>
                                                      </w:r>
                                                      <w:proofErr w:type="spellStart"/>
                                                      <w:r w:rsidRPr="009138B9">
                                                        <w:rPr>
                                                          <w:rStyle w:val="lev"/>
                                                          <w:rFonts w:ascii="Arial" w:hAnsi="Arial" w:cs="Arial"/>
                                                          <w:color w:val="393939"/>
                                                        </w:rPr>
                                                        <w:t>InnoEnergy</w:t>
                                                      </w:r>
                                                      <w:proofErr w:type="spellEnd"/>
                                                      <w:r w:rsidRPr="009138B9">
                                                        <w:rPr>
                                                          <w:rStyle w:val="lev"/>
                                                          <w:rFonts w:ascii="Arial" w:hAnsi="Arial" w:cs="Arial"/>
                                                          <w:color w:val="393939"/>
                                                        </w:rPr>
                                                        <w:t xml:space="preserve"> et l’État français s’engagent pour accélérer la formation des salariés aux nouveaux métiers liés à l’essor de la filière industrielle de la batterie électrique</w:t>
                                                      </w:r>
                                                    </w:p>
                                                  </w:tc>
                                                </w:tr>
                                              </w:tbl>
                                              <w:p w:rsidR="009138B9" w:rsidRDefault="009138B9">
                                                <w:pPr>
                                                  <w:rPr>
                                                    <w:rFonts w:eastAsia="Times New Roman"/>
                                                    <w:sz w:val="20"/>
                                                    <w:szCs w:val="20"/>
                                                  </w:rPr>
                                                </w:pPr>
                                              </w:p>
                                            </w:tc>
                                          </w:tr>
                                        </w:tbl>
                                        <w:p w:rsidR="009138B9" w:rsidRDefault="009138B9">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126"/>
                                          </w:tblGrid>
                                          <w:tr w:rsidR="009138B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9138B9">
                                                  <w:trPr>
                                                    <w:trHeight w:val="300"/>
                                                    <w:jc w:val="center"/>
                                                  </w:trPr>
                                                  <w:tc>
                                                    <w:tcPr>
                                                      <w:tcW w:w="0" w:type="auto"/>
                                                      <w:vAlign w:val="center"/>
                                                      <w:hideMark/>
                                                    </w:tcPr>
                                                    <w:p w:rsidR="009138B9" w:rsidRDefault="009138B9">
                                                      <w:pPr>
                                                        <w:spacing w:line="300" w:lineRule="exact"/>
                                                        <w:rPr>
                                                          <w:rFonts w:eastAsia="Times New Roman"/>
                                                          <w:sz w:val="30"/>
                                                          <w:szCs w:val="30"/>
                                                        </w:rPr>
                                                      </w:pPr>
                                                      <w:r>
                                                        <w:rPr>
                                                          <w:rFonts w:eastAsia="Times New Roman"/>
                                                          <w:sz w:val="30"/>
                                                          <w:szCs w:val="30"/>
                                                        </w:rPr>
                                                        <w:t xml:space="preserve">  </w:t>
                                                      </w:r>
                                                    </w:p>
                                                  </w:tc>
                                                </w:tr>
                                              </w:tbl>
                                              <w:p w:rsidR="009138B9" w:rsidRDefault="009138B9">
                                                <w:pPr>
                                                  <w:jc w:val="cente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shd w:val="clear" w:color="auto" w:fill="FFFFFF"/>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r w:rsidR="009138B9">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9138B9">
                          <w:tc>
                            <w:tcPr>
                              <w:tcW w:w="150" w:type="dxa"/>
                              <w:shd w:val="clear" w:color="auto" w:fill="FFFFFF"/>
                              <w:vAlign w:val="center"/>
                              <w:hideMark/>
                            </w:tcPr>
                            <w:p w:rsidR="009138B9" w:rsidRDefault="009138B9" w:rsidP="009138B9">
                              <w:pPr>
                                <w:jc w:val="both"/>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9138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2"/>
                                          </w:tblGrid>
                                          <w:tr w:rsidR="009138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2"/>
                                                </w:tblGrid>
                                                <w:tr w:rsidR="009138B9" w:rsidRPr="009138B9">
                                                  <w:tc>
                                                    <w:tcPr>
                                                      <w:tcW w:w="0" w:type="auto"/>
                                                      <w:vAlign w:val="center"/>
                                                      <w:hideMark/>
                                                    </w:tcPr>
                                                    <w:p w:rsidR="009138B9" w:rsidRPr="009138B9" w:rsidRDefault="009138B9" w:rsidP="009138B9">
                                                      <w:pPr>
                                                        <w:pStyle w:val="NormalWeb"/>
                                                        <w:spacing w:before="0" w:beforeAutospacing="0" w:after="0" w:afterAutospacing="0" w:line="276" w:lineRule="auto"/>
                                                        <w:jc w:val="both"/>
                                                        <w:rPr>
                                                          <w:rFonts w:ascii="Arial" w:hAnsi="Arial" w:cs="Arial"/>
                                                          <w:b/>
                                                          <w:color w:val="000000"/>
                                                          <w:sz w:val="21"/>
                                                          <w:szCs w:val="21"/>
                                                        </w:rPr>
                                                      </w:pPr>
                                                      <w:r w:rsidRPr="009138B9">
                                                        <w:rPr>
                                                          <w:rFonts w:ascii="Arial" w:hAnsi="Arial" w:cs="Arial"/>
                                                          <w:b/>
                                                          <w:color w:val="000000"/>
                                                          <w:sz w:val="21"/>
                                                          <w:szCs w:val="21"/>
                                                        </w:rPr>
                                                        <w:t xml:space="preserve">Aujourd’hui, </w:t>
                                                      </w:r>
                                                      <w:hyperlink r:id="rId9" w:history="1">
                                                        <w:r w:rsidRPr="009138B9">
                                                          <w:rPr>
                                                            <w:rStyle w:val="Lienhypertexte"/>
                                                            <w:rFonts w:ascii="Arial" w:hAnsi="Arial" w:cs="Arial"/>
                                                            <w:b/>
                                                            <w:sz w:val="21"/>
                                                            <w:szCs w:val="21"/>
                                                          </w:rPr>
                                                          <w:t xml:space="preserve">EIT </w:t>
                                                        </w:r>
                                                        <w:proofErr w:type="spellStart"/>
                                                        <w:r w:rsidRPr="009138B9">
                                                          <w:rPr>
                                                            <w:rStyle w:val="Lienhypertexte"/>
                                                            <w:rFonts w:ascii="Arial" w:hAnsi="Arial" w:cs="Arial"/>
                                                            <w:b/>
                                                            <w:sz w:val="21"/>
                                                            <w:szCs w:val="21"/>
                                                          </w:rPr>
                                                          <w:t>InnoEnergy</w:t>
                                                        </w:r>
                                                        <w:proofErr w:type="spellEnd"/>
                                                      </w:hyperlink>
                                                      <w:r w:rsidRPr="009138B9">
                                                        <w:rPr>
                                                          <w:rFonts w:ascii="Arial" w:hAnsi="Arial" w:cs="Arial"/>
                                                          <w:b/>
                                                          <w:color w:val="000000"/>
                                                          <w:sz w:val="21"/>
                                                          <w:szCs w:val="21"/>
                                                        </w:rPr>
                                                        <w:t xml:space="preserve"> et l’État français ont signé un contrat de partenariat pour lancer l’académie européenne de la batterie en France, une initiative qui permettra de former des dizaines de milliers de salariés dans le secteur des batteries électriques. </w:t>
                                                      </w:r>
                                                    </w:p>
                                                    <w:p w:rsidR="009138B9" w:rsidRPr="009138B9" w:rsidRDefault="009138B9" w:rsidP="009138B9">
                                                      <w:pPr>
                                                        <w:pStyle w:val="NormalWeb"/>
                                                        <w:spacing w:before="0" w:beforeAutospacing="0" w:after="0" w:afterAutospacing="0" w:line="276" w:lineRule="auto"/>
                                                        <w:jc w:val="both"/>
                                                        <w:rPr>
                                                          <w:rFonts w:ascii="Arial" w:hAnsi="Arial" w:cs="Arial"/>
                                                          <w:b/>
                                                          <w:color w:val="000000"/>
                                                          <w:sz w:val="21"/>
                                                          <w:szCs w:val="21"/>
                                                        </w:rPr>
                                                      </w:pPr>
                                                    </w:p>
                                                    <w:p w:rsidR="009138B9" w:rsidRPr="009138B9" w:rsidRDefault="009138B9" w:rsidP="009138B9">
                                                      <w:pPr>
                                                        <w:pStyle w:val="NormalWeb"/>
                                                        <w:spacing w:before="0" w:beforeAutospacing="0" w:after="0" w:afterAutospacing="0" w:line="276" w:lineRule="auto"/>
                                                        <w:jc w:val="both"/>
                                                        <w:rPr>
                                                          <w:rFonts w:ascii="Arial" w:hAnsi="Arial" w:cs="Arial"/>
                                                          <w:b/>
                                                          <w:color w:val="000000"/>
                                                          <w:sz w:val="21"/>
                                                          <w:szCs w:val="21"/>
                                                        </w:rPr>
                                                      </w:pPr>
                                                      <w:r w:rsidRPr="009138B9">
                                                        <w:rPr>
                                                          <w:rFonts w:ascii="Arial" w:hAnsi="Arial" w:cs="Arial"/>
                                                          <w:b/>
                                                          <w:color w:val="000000"/>
                                                          <w:sz w:val="21"/>
                                                          <w:szCs w:val="21"/>
                                                        </w:rPr>
                                                        <w:t xml:space="preserve">Pionnière dans ce secteur stratégique émergent, avec la construction de trois </w:t>
                                                      </w:r>
                                                      <w:proofErr w:type="spellStart"/>
                                                      <w:r w:rsidRPr="009138B9">
                                                        <w:rPr>
                                                          <w:rFonts w:ascii="Arial" w:hAnsi="Arial" w:cs="Arial"/>
                                                          <w:b/>
                                                          <w:color w:val="000000"/>
                                                          <w:sz w:val="21"/>
                                                          <w:szCs w:val="21"/>
                                                        </w:rPr>
                                                        <w:t>gigafactories</w:t>
                                                      </w:r>
                                                      <w:proofErr w:type="spellEnd"/>
                                                      <w:r w:rsidRPr="009138B9">
                                                        <w:rPr>
                                                          <w:rFonts w:ascii="Arial" w:hAnsi="Arial" w:cs="Arial"/>
                                                          <w:b/>
                                                          <w:color w:val="000000"/>
                                                          <w:sz w:val="21"/>
                                                          <w:szCs w:val="21"/>
                                                        </w:rPr>
                                                        <w:t xml:space="preserve"> sur le territoire national d’ici 2023, la France doit accompagner le développement de compétences adaptées à ces nouvelles implantations et à toutes les applications associées dans le domaine de la mobilité et de l’énergie au sens large. Pour répondre à cette demande, EIT </w:t>
                                                      </w:r>
                                                      <w:proofErr w:type="spellStart"/>
                                                      <w:r w:rsidRPr="009138B9">
                                                        <w:rPr>
                                                          <w:rFonts w:ascii="Arial" w:hAnsi="Arial" w:cs="Arial"/>
                                                          <w:b/>
                                                          <w:color w:val="000000"/>
                                                          <w:sz w:val="21"/>
                                                          <w:szCs w:val="21"/>
                                                        </w:rPr>
                                                        <w:t>InnoEnergy</w:t>
                                                      </w:r>
                                                      <w:proofErr w:type="spellEnd"/>
                                                      <w:r w:rsidRPr="009138B9">
                                                        <w:rPr>
                                                          <w:rFonts w:ascii="Arial" w:hAnsi="Arial" w:cs="Arial"/>
                                                          <w:b/>
                                                          <w:color w:val="000000"/>
                                                          <w:sz w:val="21"/>
                                                          <w:szCs w:val="21"/>
                                                        </w:rPr>
                                                        <w:t>, qui anime depuis sa création l’Alliance Européenne de la Batterie, a développé une plateforme de services de formations développées par l'industrie et pour l'industrie, couvrant toute la chaîne de valeur des batteries, des matières premières aux applications et recyclage. Le lancement de cette académie en France va permettre d’accompagner la compétitivité de l’industrie et la création d’emplois en France.</w:t>
                                                      </w:r>
                                                    </w:p>
                                                    <w:p w:rsidR="009138B9" w:rsidRDefault="009138B9" w:rsidP="009138B9">
                                                      <w:pPr>
                                                        <w:pStyle w:val="NormalWeb"/>
                                                        <w:spacing w:before="0" w:beforeAutospacing="0" w:after="0" w:afterAutospacing="0" w:line="276" w:lineRule="auto"/>
                                                        <w:jc w:val="both"/>
                                                        <w:rPr>
                                                          <w:rFonts w:ascii="Arial" w:hAnsi="Arial" w:cs="Arial"/>
                                                          <w:color w:val="000000"/>
                                                          <w:sz w:val="21"/>
                                                          <w:szCs w:val="21"/>
                                                        </w:rPr>
                                                      </w:pPr>
                                                    </w:p>
                                                    <w:p w:rsidR="009138B9" w:rsidRDefault="009138B9" w:rsidP="009138B9">
                                                      <w:pPr>
                                                        <w:pStyle w:val="PrformatHTML"/>
                                                        <w:spacing w:line="276" w:lineRule="auto"/>
                                                        <w:jc w:val="both"/>
                                                        <w:rPr>
                                                          <w:rFonts w:ascii="Arial" w:eastAsiaTheme="minorHAnsi" w:hAnsi="Arial" w:cs="Arial"/>
                                                          <w:color w:val="000000"/>
                                                          <w:sz w:val="21"/>
                                                          <w:szCs w:val="21"/>
                                                        </w:rPr>
                                                      </w:pPr>
                                                      <w:r w:rsidRPr="009138B9">
                                                        <w:rPr>
                                                          <w:rFonts w:ascii="Arial" w:eastAsiaTheme="minorHAnsi" w:hAnsi="Arial" w:cs="Arial"/>
                                                          <w:color w:val="000000"/>
                                                          <w:sz w:val="21"/>
                                                          <w:szCs w:val="21"/>
                                                        </w:rPr>
                                                        <w:t xml:space="preserve">L'économie européenne subit une transformation majeure, portée par les technologies d’avenir, vertes et numériques, en vue d'atteindre la neutralité climatique, de préserver la compétitivité à long terme de l'industrie européenne et de parvenir à une autonomie stratégique. </w:t>
                                                      </w:r>
                                                    </w:p>
                                                    <w:p w:rsidR="009138B9" w:rsidRPr="009138B9" w:rsidRDefault="009138B9" w:rsidP="009138B9">
                                                      <w:pPr>
                                                        <w:pStyle w:val="PrformatHTML"/>
                                                        <w:spacing w:line="276" w:lineRule="auto"/>
                                                        <w:jc w:val="both"/>
                                                        <w:rPr>
                                                          <w:rFonts w:ascii="Arial" w:eastAsiaTheme="minorHAnsi" w:hAnsi="Arial" w:cs="Arial"/>
                                                          <w:color w:val="000000"/>
                                                          <w:sz w:val="21"/>
                                                          <w:szCs w:val="21"/>
                                                        </w:rPr>
                                                      </w:pPr>
                                                    </w:p>
                                                    <w:p w:rsidR="009138B9" w:rsidRPr="009138B9" w:rsidRDefault="009138B9" w:rsidP="009138B9">
                                                      <w:pPr>
                                                        <w:pStyle w:val="PrformatHTML"/>
                                                        <w:spacing w:line="276" w:lineRule="auto"/>
                                                        <w:jc w:val="both"/>
                                                        <w:rPr>
                                                          <w:rFonts w:ascii="Arial" w:eastAsiaTheme="minorHAnsi" w:hAnsi="Arial" w:cs="Arial"/>
                                                          <w:color w:val="000000"/>
                                                          <w:sz w:val="21"/>
                                                          <w:szCs w:val="21"/>
                                                        </w:rPr>
                                                      </w:pPr>
                                                      <w:r w:rsidRPr="009138B9">
                                                        <w:rPr>
                                                          <w:rFonts w:ascii="Arial" w:eastAsiaTheme="minorHAnsi" w:hAnsi="Arial" w:cs="Arial"/>
                                                          <w:color w:val="000000"/>
                                                          <w:sz w:val="21"/>
                                                          <w:szCs w:val="21"/>
                                                        </w:rPr>
                                                        <w:t xml:space="preserve">L’écosystème émergent des batteries est à l’avant-garde de la transition énergétique, les batteries étant la principale technologie permettant de soutenir l’électrification et la </w:t>
                                                      </w:r>
                                                      <w:proofErr w:type="spellStart"/>
                                                      <w:r w:rsidRPr="009138B9">
                                                        <w:rPr>
                                                          <w:rFonts w:ascii="Arial" w:eastAsiaTheme="minorHAnsi" w:hAnsi="Arial" w:cs="Arial"/>
                                                          <w:color w:val="000000"/>
                                                          <w:sz w:val="21"/>
                                                          <w:szCs w:val="21"/>
                                                        </w:rPr>
                                                        <w:lastRenderedPageBreak/>
                                                        <w:t>décarbonation</w:t>
                                                      </w:r>
                                                      <w:proofErr w:type="spellEnd"/>
                                                      <w:r w:rsidRPr="009138B9">
                                                        <w:rPr>
                                                          <w:rFonts w:ascii="Arial" w:eastAsiaTheme="minorHAnsi" w:hAnsi="Arial" w:cs="Arial"/>
                                                          <w:color w:val="000000"/>
                                                          <w:sz w:val="21"/>
                                                          <w:szCs w:val="21"/>
                                                        </w:rPr>
                                                        <w:t xml:space="preserve"> des transports, et un relais clé pour l’intégration des renouvelables et de l’hydrogène </w:t>
                                                      </w:r>
                                                      <w:proofErr w:type="spellStart"/>
                                                      <w:r w:rsidRPr="009138B9">
                                                        <w:rPr>
                                                          <w:rFonts w:ascii="Arial" w:eastAsiaTheme="minorHAnsi" w:hAnsi="Arial" w:cs="Arial"/>
                                                          <w:color w:val="000000"/>
                                                          <w:sz w:val="21"/>
                                                          <w:szCs w:val="21"/>
                                                        </w:rPr>
                                                        <w:t>décarboné</w:t>
                                                      </w:r>
                                                      <w:proofErr w:type="spellEnd"/>
                                                      <w:r w:rsidRPr="009138B9">
                                                        <w:rPr>
                                                          <w:rFonts w:ascii="Arial" w:eastAsiaTheme="minorHAnsi" w:hAnsi="Arial" w:cs="Arial"/>
                                                          <w:color w:val="000000"/>
                                                          <w:sz w:val="21"/>
                                                          <w:szCs w:val="21"/>
                                                        </w:rPr>
                                                        <w:t xml:space="preserve"> dans le mix énergétique. Le développement de cette filière a un impact sur de nombreux secteurs économiques : énergie, automobile, chimie, électronique, ingénierie, recyclage, recherche… </w:t>
                                                      </w:r>
                                                    </w:p>
                                                    <w:p w:rsidR="009138B9" w:rsidRPr="009138B9" w:rsidRDefault="009138B9" w:rsidP="009138B9">
                                                      <w:pPr>
                                                        <w:pStyle w:val="PrformatHTML"/>
                                                        <w:spacing w:line="276" w:lineRule="auto"/>
                                                        <w:jc w:val="both"/>
                                                        <w:rPr>
                                                          <w:rFonts w:ascii="Arial" w:eastAsiaTheme="minorHAnsi" w:hAnsi="Arial" w:cs="Arial"/>
                                                          <w:color w:val="000000"/>
                                                          <w:sz w:val="21"/>
                                                          <w:szCs w:val="21"/>
                                                        </w:rPr>
                                                      </w:pPr>
                                                    </w:p>
                                                    <w:p w:rsidR="009138B9" w:rsidRDefault="009138B9" w:rsidP="009138B9">
                                                      <w:pPr>
                                                        <w:pStyle w:val="PrformatHTML"/>
                                                        <w:spacing w:line="276" w:lineRule="auto"/>
                                                        <w:jc w:val="both"/>
                                                        <w:rPr>
                                                          <w:rFonts w:ascii="Arial" w:eastAsiaTheme="minorHAnsi" w:hAnsi="Arial" w:cs="Arial"/>
                                                          <w:color w:val="000000"/>
                                                          <w:sz w:val="21"/>
                                                          <w:szCs w:val="21"/>
                                                        </w:rPr>
                                                      </w:pPr>
                                                      <w:r w:rsidRPr="009138B9">
                                                        <w:rPr>
                                                          <w:rFonts w:ascii="Arial" w:eastAsiaTheme="minorHAnsi" w:hAnsi="Arial" w:cs="Arial"/>
                                                          <w:color w:val="000000"/>
                                                          <w:sz w:val="21"/>
                                                          <w:szCs w:val="21"/>
                                                        </w:rPr>
                                                        <w:t xml:space="preserve">Cette transition va remodeler le marché du travail en créant des opportunités pour de nouveaux « emplois verts », mais constitue aussi un défi pour les profils d'emplois traditionnels notamment dans les secteurs à forte empreinte environnementale. La capacité de l’Union Européenne à former et préparer ses travailleurs est un facteur de succès du pacte vert européen et de la reprise économique. Les enjeux sont considérables : les industriels du secteur estiment un besoin de formation et requalification de 800.000 travailleurs européens entre 2021 et 2025. </w:t>
                                                      </w:r>
                                                    </w:p>
                                                    <w:p w:rsidR="009138B9" w:rsidRDefault="009138B9" w:rsidP="009138B9">
                                                      <w:pPr>
                                                        <w:pStyle w:val="PrformatHTML"/>
                                                        <w:spacing w:line="276" w:lineRule="auto"/>
                                                        <w:jc w:val="both"/>
                                                        <w:rPr>
                                                          <w:rFonts w:ascii="Arial" w:eastAsiaTheme="minorHAnsi" w:hAnsi="Arial" w:cs="Arial"/>
                                                          <w:color w:val="000000"/>
                                                          <w:sz w:val="21"/>
                                                          <w:szCs w:val="21"/>
                                                        </w:rPr>
                                                      </w:pPr>
                                                    </w:p>
                                                    <w:p w:rsidR="009138B9" w:rsidRPr="009138B9" w:rsidRDefault="009138B9" w:rsidP="009138B9">
                                                      <w:pPr>
                                                        <w:pStyle w:val="PrformatHTML"/>
                                                        <w:spacing w:line="276" w:lineRule="auto"/>
                                                        <w:jc w:val="both"/>
                                                        <w:rPr>
                                                          <w:rFonts w:ascii="Arial" w:eastAsiaTheme="minorHAnsi" w:hAnsi="Arial" w:cs="Arial"/>
                                                          <w:color w:val="000000"/>
                                                          <w:sz w:val="21"/>
                                                          <w:szCs w:val="21"/>
                                                        </w:rPr>
                                                      </w:pPr>
                                                      <w:r w:rsidRPr="009138B9">
                                                        <w:rPr>
                                                          <w:rFonts w:ascii="Arial" w:eastAsiaTheme="minorHAnsi" w:hAnsi="Arial" w:cs="Arial"/>
                                                          <w:color w:val="000000"/>
                                                          <w:sz w:val="21"/>
                                                          <w:szCs w:val="21"/>
                                                        </w:rPr>
                                                        <w:t xml:space="preserve">EIT </w:t>
                                                      </w:r>
                                                      <w:proofErr w:type="spellStart"/>
                                                      <w:r w:rsidRPr="009138B9">
                                                        <w:rPr>
                                                          <w:rFonts w:ascii="Arial" w:eastAsiaTheme="minorHAnsi" w:hAnsi="Arial" w:cs="Arial"/>
                                                          <w:color w:val="000000"/>
                                                          <w:sz w:val="21"/>
                                                          <w:szCs w:val="21"/>
                                                        </w:rPr>
                                                        <w:t>InnoEnergy</w:t>
                                                      </w:r>
                                                      <w:proofErr w:type="spellEnd"/>
                                                      <w:r w:rsidRPr="009138B9">
                                                        <w:rPr>
                                                          <w:rFonts w:ascii="Arial" w:eastAsiaTheme="minorHAnsi" w:hAnsi="Arial" w:cs="Arial"/>
                                                          <w:color w:val="000000"/>
                                                          <w:sz w:val="21"/>
                                                          <w:szCs w:val="21"/>
                                                        </w:rPr>
                                                        <w:t xml:space="preserve">, mandatée par Maros </w:t>
                                                      </w:r>
                                                      <w:proofErr w:type="spellStart"/>
                                                      <w:r w:rsidRPr="009138B9">
                                                        <w:rPr>
                                                          <w:rFonts w:ascii="Arial" w:eastAsiaTheme="minorHAnsi" w:hAnsi="Arial" w:cs="Arial"/>
                                                          <w:color w:val="000000"/>
                                                          <w:sz w:val="21"/>
                                                          <w:szCs w:val="21"/>
                                                        </w:rPr>
                                                        <w:t>Sefcovic</w:t>
                                                      </w:r>
                                                      <w:proofErr w:type="spellEnd"/>
                                                      <w:r w:rsidRPr="009138B9">
                                                        <w:rPr>
                                                          <w:rFonts w:ascii="Arial" w:eastAsiaTheme="minorHAnsi" w:hAnsi="Arial" w:cs="Arial"/>
                                                          <w:color w:val="000000"/>
                                                          <w:sz w:val="21"/>
                                                          <w:szCs w:val="21"/>
                                                        </w:rPr>
                                                        <w:t>, vice-président des relations institutionnelles et de la prospective de la Commission européenne, a développé l’académie européenne de la batterie</w:t>
                                                      </w:r>
                                                      <w:r w:rsidRPr="009138B9">
                                                        <w:rPr>
                                                          <w:rFonts w:ascii="Arial" w:eastAsiaTheme="minorHAnsi" w:hAnsi="Arial" w:cs="Arial"/>
                                                          <w:color w:val="000000"/>
                                                          <w:sz w:val="21"/>
                                                          <w:szCs w:val="21"/>
                                                        </w:rPr>
                                                        <w:footnoteReference w:id="1"/>
                                                      </w:r>
                                                      <w:r w:rsidRPr="009138B9">
                                                        <w:rPr>
                                                          <w:rFonts w:ascii="Arial" w:eastAsiaTheme="minorHAnsi" w:hAnsi="Arial" w:cs="Arial"/>
                                                          <w:color w:val="000000"/>
                                                          <w:sz w:val="21"/>
                                                          <w:szCs w:val="21"/>
                                                        </w:rPr>
                                                        <w:t xml:space="preserve"> pour répondre à ce besoin urgent de compétences nouvelles. </w:t>
                                                      </w:r>
                                                    </w:p>
                                                    <w:p w:rsidR="009138B9" w:rsidRPr="009138B9" w:rsidRDefault="009138B9" w:rsidP="009138B9">
                                                      <w:pPr>
                                                        <w:pStyle w:val="PrformatHTML"/>
                                                        <w:spacing w:line="276" w:lineRule="auto"/>
                                                        <w:jc w:val="both"/>
                                                        <w:rPr>
                                                          <w:rFonts w:ascii="Arial" w:eastAsiaTheme="minorHAnsi" w:hAnsi="Arial" w:cs="Arial"/>
                                                          <w:color w:val="000000"/>
                                                          <w:sz w:val="21"/>
                                                          <w:szCs w:val="21"/>
                                                        </w:rPr>
                                                      </w:pPr>
                                                    </w:p>
                                                    <w:p w:rsidR="009138B9" w:rsidRPr="009138B9" w:rsidRDefault="009138B9" w:rsidP="009138B9">
                                                      <w:pPr>
                                                        <w:spacing w:after="160" w:line="276" w:lineRule="auto"/>
                                                        <w:jc w:val="both"/>
                                                        <w:rPr>
                                                          <w:rFonts w:ascii="Arial" w:hAnsi="Arial" w:cs="Arial"/>
                                                          <w:color w:val="000000"/>
                                                          <w:sz w:val="21"/>
                                                          <w:szCs w:val="21"/>
                                                        </w:rPr>
                                                      </w:pPr>
                                                      <w:r w:rsidRPr="009138B9">
                                                        <w:rPr>
                                                          <w:rFonts w:ascii="Arial" w:hAnsi="Arial" w:cs="Arial"/>
                                                          <w:b/>
                                                          <w:color w:val="000000"/>
                                                          <w:sz w:val="21"/>
                                                          <w:szCs w:val="21"/>
                                                        </w:rPr>
                                                        <w:t>La signature de ce contrat marque le lancement de l’académie en France</w:t>
                                                      </w:r>
                                                      <w:r w:rsidRPr="009138B9">
                                                        <w:rPr>
                                                          <w:rFonts w:ascii="Arial" w:hAnsi="Arial" w:cs="Arial"/>
                                                          <w:color w:val="000000"/>
                                                          <w:sz w:val="21"/>
                                                          <w:szCs w:val="21"/>
                                                        </w:rPr>
                                                        <w:t xml:space="preserve">. Il permettra d’accélérer la formation des salariés français via l’aide au financement de formations dans les domaines d'expertise, de connaissances et de compétences exigés par le secteur de la batterie et de l'électromobilité tout au long de la chaîne de valeur. Rien qu’en France, l’académie européenne de la batterie ambitionne de former 150 000 travailleurs d’ici 2025. </w:t>
                                                      </w:r>
                                                    </w:p>
                                                    <w:p w:rsidR="009138B9" w:rsidRPr="009138B9" w:rsidRDefault="009138B9" w:rsidP="009138B9">
                                                      <w:pPr>
                                                        <w:pStyle w:val="PrformatHTML"/>
                                                        <w:spacing w:line="276" w:lineRule="auto"/>
                                                        <w:jc w:val="both"/>
                                                        <w:rPr>
                                                          <w:rFonts w:ascii="Arial" w:eastAsiaTheme="minorHAnsi" w:hAnsi="Arial" w:cs="Arial"/>
                                                          <w:color w:val="000000"/>
                                                          <w:sz w:val="21"/>
                                                          <w:szCs w:val="21"/>
                                                        </w:rPr>
                                                      </w:pPr>
                                                    </w:p>
                                                    <w:p w:rsidR="009138B9" w:rsidRPr="009138B9" w:rsidRDefault="009138B9" w:rsidP="009138B9">
                                                      <w:pPr>
                                                        <w:pStyle w:val="PrformatHTML"/>
                                                        <w:spacing w:line="276" w:lineRule="auto"/>
                                                        <w:jc w:val="both"/>
                                                        <w:rPr>
                                                          <w:rFonts w:ascii="Arial" w:eastAsiaTheme="minorHAnsi" w:hAnsi="Arial" w:cs="Arial"/>
                                                          <w:color w:val="000000"/>
                                                          <w:sz w:val="21"/>
                                                          <w:szCs w:val="21"/>
                                                        </w:rPr>
                                                      </w:pPr>
                                                      <w:r w:rsidRPr="009138B9">
                                                        <w:rPr>
                                                          <w:rFonts w:ascii="Arial" w:eastAsiaTheme="minorHAnsi" w:hAnsi="Arial" w:cs="Arial"/>
                                                          <w:color w:val="000000"/>
                                                          <w:sz w:val="21"/>
                                                          <w:szCs w:val="21"/>
                                                        </w:rPr>
                                                        <w:t xml:space="preserve">Cette plateforme dispose aujourd'hui de plus de 30 modules de formation conçus par et pour l’industrie. La plateforme est constamment mise à jour et enrichie grâce aux retours des entreprises de la chaîne de valeur. Quelques 37 000 apprenants ont déjà été formés. </w:t>
                                                      </w:r>
                                                    </w:p>
                                                    <w:p w:rsidR="009138B9" w:rsidRPr="009138B9" w:rsidRDefault="009138B9" w:rsidP="009138B9">
                                                      <w:pPr>
                                                        <w:pStyle w:val="PrformatHTML"/>
                                                        <w:spacing w:line="276" w:lineRule="auto"/>
                                                        <w:jc w:val="both"/>
                                                        <w:rPr>
                                                          <w:rFonts w:ascii="Arial" w:eastAsiaTheme="minorHAnsi" w:hAnsi="Arial" w:cs="Arial"/>
                                                          <w:color w:val="000000"/>
                                                          <w:sz w:val="21"/>
                                                          <w:szCs w:val="21"/>
                                                        </w:rPr>
                                                      </w:pPr>
                                                    </w:p>
                                                    <w:p w:rsidR="009138B9" w:rsidRPr="009138B9" w:rsidRDefault="009138B9" w:rsidP="009138B9">
                                                      <w:pPr>
                                                        <w:pStyle w:val="PrformatHTML"/>
                                                        <w:spacing w:line="276" w:lineRule="auto"/>
                                                        <w:jc w:val="both"/>
                                                        <w:rPr>
                                                          <w:rFonts w:ascii="Arial" w:eastAsiaTheme="minorHAnsi" w:hAnsi="Arial" w:cs="Arial"/>
                                                          <w:color w:val="000000"/>
                                                          <w:sz w:val="21"/>
                                                          <w:szCs w:val="21"/>
                                                        </w:rPr>
                                                      </w:pPr>
                                                      <w:r w:rsidRPr="009138B9">
                                                        <w:rPr>
                                                          <w:rFonts w:ascii="Arial" w:eastAsiaTheme="minorHAnsi" w:hAnsi="Arial" w:cs="Arial"/>
                                                          <w:color w:val="000000"/>
                                                          <w:sz w:val="21"/>
                                                          <w:szCs w:val="21"/>
                                                        </w:rPr>
                                                        <w:t>Grâce à cet accord</w:t>
                                                      </w:r>
                                                      <w:r w:rsidR="00FD0D69">
                                                        <w:rPr>
                                                          <w:rFonts w:ascii="Arial" w:eastAsiaTheme="minorHAnsi" w:hAnsi="Arial" w:cs="Arial"/>
                                                          <w:color w:val="000000"/>
                                                          <w:sz w:val="21"/>
                                                          <w:szCs w:val="21"/>
                                                        </w:rPr>
                                                        <w:t xml:space="preserve">, </w:t>
                                                      </w:r>
                                                      <w:proofErr w:type="spellStart"/>
                                                      <w:r w:rsidR="00FD0D69">
                                                        <w:rPr>
                                                          <w:rFonts w:ascii="Arial" w:eastAsiaTheme="minorHAnsi" w:hAnsi="Arial" w:cs="Arial"/>
                                                          <w:color w:val="000000"/>
                                                          <w:sz w:val="21"/>
                                                          <w:szCs w:val="21"/>
                                                        </w:rPr>
                                                        <w:t>coconstruit</w:t>
                                                      </w:r>
                                                      <w:proofErr w:type="spellEnd"/>
                                                      <w:r w:rsidR="00FD0D69">
                                                        <w:rPr>
                                                          <w:rFonts w:ascii="Arial" w:eastAsiaTheme="minorHAnsi" w:hAnsi="Arial" w:cs="Arial"/>
                                                          <w:color w:val="000000"/>
                                                          <w:sz w:val="21"/>
                                                          <w:szCs w:val="21"/>
                                                        </w:rPr>
                                                        <w:t xml:space="preserve"> avec le m</w:t>
                                                      </w:r>
                                                      <w:r w:rsidRPr="009138B9">
                                                        <w:rPr>
                                                          <w:rFonts w:ascii="Arial" w:eastAsiaTheme="minorHAnsi" w:hAnsi="Arial" w:cs="Arial"/>
                                                          <w:color w:val="000000"/>
                                                          <w:sz w:val="21"/>
                                                          <w:szCs w:val="21"/>
                                                        </w:rPr>
                                                        <w:t>inistère du Travail, de l'</w:t>
                                                      </w:r>
                                                      <w:r w:rsidR="00FD0D69">
                                                        <w:rPr>
                                                          <w:rFonts w:ascii="Arial" w:eastAsiaTheme="minorHAnsi" w:hAnsi="Arial" w:cs="Arial"/>
                                                          <w:color w:val="000000"/>
                                                          <w:sz w:val="21"/>
                                                          <w:szCs w:val="21"/>
                                                        </w:rPr>
                                                        <w:t>Emploi et de l'Insertion et le ministère de l’I</w:t>
                                                      </w:r>
                                                      <w:r w:rsidRPr="009138B9">
                                                        <w:rPr>
                                                          <w:rFonts w:ascii="Arial" w:eastAsiaTheme="minorHAnsi" w:hAnsi="Arial" w:cs="Arial"/>
                                                          <w:color w:val="000000"/>
                                                          <w:sz w:val="21"/>
                                                          <w:szCs w:val="21"/>
                                                        </w:rPr>
                                                        <w:t xml:space="preserve">ndustrie, l’académie européenne de la batterie pourra se déployer en France dès le 1er septembre. </w:t>
                                                      </w:r>
                                                    </w:p>
                                                    <w:p w:rsidR="009138B9" w:rsidRPr="009138B9" w:rsidRDefault="009138B9" w:rsidP="009138B9">
                                                      <w:pPr>
                                                        <w:spacing w:line="276" w:lineRule="auto"/>
                                                        <w:jc w:val="both"/>
                                                        <w:rPr>
                                                          <w:rFonts w:ascii="Arial" w:hAnsi="Arial" w:cs="Arial"/>
                                                          <w:color w:val="000000"/>
                                                          <w:sz w:val="21"/>
                                                          <w:szCs w:val="21"/>
                                                        </w:rPr>
                                                      </w:pPr>
                                                    </w:p>
                                                    <w:p w:rsidR="009138B9" w:rsidRPr="009138B9" w:rsidRDefault="009138B9" w:rsidP="009138B9">
                                                      <w:pPr>
                                                        <w:spacing w:line="276" w:lineRule="auto"/>
                                                        <w:jc w:val="both"/>
                                                        <w:rPr>
                                                          <w:rFonts w:ascii="Arial" w:hAnsi="Arial" w:cs="Arial"/>
                                                          <w:color w:val="000000"/>
                                                          <w:sz w:val="21"/>
                                                          <w:szCs w:val="21"/>
                                                        </w:rPr>
                                                      </w:pPr>
                                                      <w:r>
                                                        <w:rPr>
                                                          <w:rFonts w:ascii="Arial" w:hAnsi="Arial" w:cs="Arial"/>
                                                          <w:color w:val="000000"/>
                                                          <w:sz w:val="21"/>
                                                          <w:szCs w:val="21"/>
                                                        </w:rPr>
                                                        <w:t>É</w:t>
                                                      </w:r>
                                                      <w:r w:rsidRPr="009138B9">
                                                        <w:rPr>
                                                          <w:rFonts w:ascii="Arial" w:hAnsi="Arial" w:cs="Arial"/>
                                                          <w:color w:val="000000"/>
                                                          <w:sz w:val="21"/>
                                                          <w:szCs w:val="21"/>
                                                        </w:rPr>
                                                        <w:t>lisabeth Borne, ministre du Travail, de l’Emploi et de l’Insertion a déclaré : « </w:t>
                                                      </w:r>
                                                      <w:r w:rsidRPr="009138B9">
                                                        <w:rPr>
                                                          <w:rFonts w:ascii="Arial" w:hAnsi="Arial" w:cs="Arial"/>
                                                          <w:i/>
                                                          <w:color w:val="000000"/>
                                                          <w:sz w:val="21"/>
                                                          <w:szCs w:val="21"/>
                                                        </w:rPr>
                                                        <w:t>La transition énergétique entraîne de profondes mutations technologiques. Dans ce contexte, il est essentiel de renforcer l’effort de formation pour sécuriser les parcours professionnels des actifs des secteurs concernés par ces changements. Cette convention acte d’un engagement fort de l’Etat pour aider les salariés et les entreprises de la filière des batteries à faire évoluer leurs compétences qui leur permettront de développer ce domaine technologique de premier rang, avec le concours de l’OPCO 2i et l’OPCO Mobilités.</w:t>
                                                      </w:r>
                                                      <w:r w:rsidRPr="009138B9">
                                                        <w:rPr>
                                                          <w:rFonts w:ascii="Arial" w:hAnsi="Arial" w:cs="Arial"/>
                                                          <w:color w:val="000000"/>
                                                          <w:sz w:val="21"/>
                                                          <w:szCs w:val="21"/>
                                                        </w:rPr>
                                                        <w:t xml:space="preserve"> »  </w:t>
                                                      </w:r>
                                                    </w:p>
                                                    <w:p w:rsidR="009138B9" w:rsidRPr="009138B9" w:rsidRDefault="009138B9" w:rsidP="009138B9">
                                                      <w:pPr>
                                                        <w:spacing w:line="276" w:lineRule="auto"/>
                                                        <w:jc w:val="both"/>
                                                        <w:rPr>
                                                          <w:rFonts w:ascii="Arial" w:hAnsi="Arial" w:cs="Arial"/>
                                                          <w:color w:val="000000"/>
                                                          <w:sz w:val="21"/>
                                                          <w:szCs w:val="21"/>
                                                        </w:rPr>
                                                      </w:pPr>
                                                    </w:p>
                                                    <w:p w:rsidR="009138B9" w:rsidRPr="009138B9" w:rsidRDefault="009138B9" w:rsidP="009138B9">
                                                      <w:pPr>
                                                        <w:spacing w:line="276" w:lineRule="auto"/>
                                                        <w:jc w:val="both"/>
                                                        <w:rPr>
                                                          <w:rFonts w:ascii="Arial" w:hAnsi="Arial" w:cs="Arial"/>
                                                          <w:color w:val="000000"/>
                                                          <w:sz w:val="21"/>
                                                          <w:szCs w:val="21"/>
                                                        </w:rPr>
                                                      </w:pPr>
                                                      <w:r w:rsidRPr="009138B9">
                                                        <w:rPr>
                                                          <w:rFonts w:ascii="Arial" w:hAnsi="Arial" w:cs="Arial"/>
                                                          <w:color w:val="000000"/>
                                                          <w:sz w:val="21"/>
                                                          <w:szCs w:val="21"/>
                                                        </w:rPr>
                                                        <w:t xml:space="preserve">Agnès </w:t>
                                                      </w:r>
                                                      <w:proofErr w:type="spellStart"/>
                                                      <w:r w:rsidRPr="009138B9">
                                                        <w:rPr>
                                                          <w:rFonts w:ascii="Arial" w:hAnsi="Arial" w:cs="Arial"/>
                                                          <w:color w:val="000000"/>
                                                          <w:sz w:val="21"/>
                                                          <w:szCs w:val="21"/>
                                                        </w:rPr>
                                                        <w:t>Pannier-Runacher</w:t>
                                                      </w:r>
                                                      <w:proofErr w:type="spellEnd"/>
                                                      <w:r w:rsidRPr="009138B9">
                                                        <w:rPr>
                                                          <w:rFonts w:ascii="Arial" w:hAnsi="Arial" w:cs="Arial"/>
                                                          <w:color w:val="000000"/>
                                                          <w:sz w:val="21"/>
                                                          <w:szCs w:val="21"/>
                                                        </w:rPr>
                                                        <w:t xml:space="preserve">, ministre déléguée, chargée de l’Industrie a déclaré : « </w:t>
                                                      </w:r>
                                                      <w:r w:rsidRPr="009138B9">
                                                        <w:rPr>
                                                          <w:rFonts w:ascii="Arial" w:hAnsi="Arial" w:cs="Arial"/>
                                                          <w:i/>
                                                          <w:color w:val="000000"/>
                                                          <w:sz w:val="21"/>
                                                          <w:szCs w:val="21"/>
                                                        </w:rPr>
                                                        <w:t>La France s’est donnée les moyens d’attirer et d’accueillir sur son sol un écosystème complet de la batterie électrique, nécessaire à l’avenir de la filière automobile. Avec le Président</w:t>
                                                      </w:r>
                                                      <w:r w:rsidRPr="009138B9">
                                                        <w:rPr>
                                                          <w:rFonts w:ascii="Arial" w:hAnsi="Arial" w:cs="Arial"/>
                                                          <w:color w:val="000000"/>
                                                          <w:sz w:val="21"/>
                                                          <w:szCs w:val="21"/>
                                                        </w:rPr>
                                                        <w:t xml:space="preserve"> </w:t>
                                                      </w:r>
                                                      <w:r w:rsidRPr="009138B9">
                                                        <w:rPr>
                                                          <w:rFonts w:ascii="Arial" w:hAnsi="Arial" w:cs="Arial"/>
                                                          <w:i/>
                                                          <w:color w:val="000000"/>
                                                          <w:sz w:val="21"/>
                                                          <w:szCs w:val="21"/>
                                                        </w:rPr>
                                                        <w:lastRenderedPageBreak/>
                                                        <w:t>de la République, nous avons officialisé l’implantation d’une nouvelle usine de batterie le 28 juin dernier, qui créera à terme 2 000 emplois. La convention que nous signons aujourd’hui permettra de former les personnes qui viendront apporter leurs compétences à ce secteur d’avenir.</w:t>
                                                      </w:r>
                                                      <w:r w:rsidRPr="009138B9">
                                                        <w:rPr>
                                                          <w:rFonts w:ascii="Arial" w:hAnsi="Arial" w:cs="Arial"/>
                                                          <w:color w:val="000000"/>
                                                          <w:sz w:val="21"/>
                                                          <w:szCs w:val="21"/>
                                                        </w:rPr>
                                                        <w:t xml:space="preserve"> »</w:t>
                                                      </w:r>
                                                    </w:p>
                                                    <w:p w:rsidR="009138B9" w:rsidRPr="009138B9" w:rsidRDefault="009138B9" w:rsidP="009138B9">
                                                      <w:pPr>
                                                        <w:spacing w:line="276" w:lineRule="auto"/>
                                                        <w:jc w:val="both"/>
                                                        <w:rPr>
                                                          <w:rFonts w:ascii="Arial" w:hAnsi="Arial" w:cs="Arial"/>
                                                          <w:color w:val="000000"/>
                                                          <w:sz w:val="21"/>
                                                          <w:szCs w:val="21"/>
                                                        </w:rPr>
                                                      </w:pPr>
                                                    </w:p>
                                                    <w:p w:rsidR="009138B9" w:rsidRDefault="009138B9" w:rsidP="009138B9">
                                                      <w:pPr>
                                                        <w:spacing w:line="276" w:lineRule="auto"/>
                                                        <w:jc w:val="both"/>
                                                        <w:rPr>
                                                          <w:rFonts w:ascii="Arial" w:hAnsi="Arial" w:cs="Arial"/>
                                                          <w:color w:val="000000"/>
                                                          <w:sz w:val="21"/>
                                                          <w:szCs w:val="21"/>
                                                        </w:rPr>
                                                      </w:pPr>
                                                      <w:r w:rsidRPr="009138B9">
                                                        <w:rPr>
                                                          <w:rFonts w:ascii="Arial" w:hAnsi="Arial" w:cs="Arial"/>
                                                          <w:color w:val="000000"/>
                                                          <w:sz w:val="21"/>
                                                          <w:szCs w:val="21"/>
                                                        </w:rPr>
                                                        <w:t xml:space="preserve">Karine Vernier, directrice générale d’EIT </w:t>
                                                      </w:r>
                                                      <w:proofErr w:type="spellStart"/>
                                                      <w:r w:rsidRPr="009138B9">
                                                        <w:rPr>
                                                          <w:rFonts w:ascii="Arial" w:hAnsi="Arial" w:cs="Arial"/>
                                                          <w:color w:val="000000"/>
                                                          <w:sz w:val="21"/>
                                                          <w:szCs w:val="21"/>
                                                        </w:rPr>
                                                        <w:t>InnoEnergy</w:t>
                                                      </w:r>
                                                      <w:proofErr w:type="spellEnd"/>
                                                      <w:r w:rsidRPr="009138B9">
                                                        <w:rPr>
                                                          <w:rFonts w:ascii="Arial" w:hAnsi="Arial" w:cs="Arial"/>
                                                          <w:color w:val="000000"/>
                                                          <w:sz w:val="21"/>
                                                          <w:szCs w:val="21"/>
                                                        </w:rPr>
                                                        <w:t xml:space="preserve"> France, a déclaré : « L’académie européenne de la batterie permet de former ou de reconvertir des personnes qui joueront un rôle stratégique essentiel dans le développement de la filière des batteries en France. Le développement coordonné de l’industrie et de l’emploi est un enjeu clé pour que la transition énergétique soit un succès partagé par tous. Nous montrons aujourd’hui un exemple inspirant sur la manière dont l’Europe peut et va réussir à engager ses citoyens via des transitions professionnelles déterminantes pour un monde plus vert. »</w:t>
                                                      </w:r>
                                                    </w:p>
                                                    <w:p w:rsidR="00567B9F" w:rsidRPr="009138B9" w:rsidRDefault="00567B9F" w:rsidP="009138B9">
                                                      <w:pPr>
                                                        <w:spacing w:line="276" w:lineRule="auto"/>
                                                        <w:jc w:val="both"/>
                                                        <w:rPr>
                                                          <w:rFonts w:ascii="Arial" w:hAnsi="Arial" w:cs="Arial"/>
                                                          <w:color w:val="000000"/>
                                                          <w:sz w:val="21"/>
                                                          <w:szCs w:val="21"/>
                                                        </w:rPr>
                                                      </w:pPr>
                                                    </w:p>
                                                    <w:p w:rsidR="009138B9" w:rsidRPr="009138B9" w:rsidRDefault="009138B9" w:rsidP="009138B9">
                                                      <w:pPr>
                                                        <w:pStyle w:val="PrformatHTML"/>
                                                        <w:spacing w:line="276" w:lineRule="auto"/>
                                                        <w:jc w:val="both"/>
                                                        <w:rPr>
                                                          <w:rFonts w:ascii="Arial" w:eastAsiaTheme="minorHAnsi" w:hAnsi="Arial" w:cs="Arial"/>
                                                          <w:color w:val="000000"/>
                                                          <w:sz w:val="21"/>
                                                          <w:szCs w:val="21"/>
                                                        </w:rPr>
                                                      </w:pPr>
                                                    </w:p>
                                                    <w:p w:rsidR="009138B9" w:rsidRPr="009138B9" w:rsidRDefault="009138B9" w:rsidP="009138B9">
                                                      <w:pPr>
                                                        <w:pStyle w:val="Body"/>
                                                        <w:spacing w:line="276" w:lineRule="auto"/>
                                                        <w:jc w:val="both"/>
                                                        <w:rPr>
                                                          <w:rFonts w:ascii="Arial" w:eastAsia="Calibri" w:hAnsi="Arial" w:cs="Arial"/>
                                                          <w:b/>
                                                          <w:bCs/>
                                                          <w:color w:val="063081"/>
                                                          <w:sz w:val="20"/>
                                                          <w:szCs w:val="20"/>
                                                          <w:u w:color="063081"/>
                                                        </w:rPr>
                                                      </w:pPr>
                                                      <w:r w:rsidRPr="009138B9">
                                                        <w:rPr>
                                                          <w:rFonts w:ascii="Arial" w:hAnsi="Arial" w:cs="Arial"/>
                                                          <w:b/>
                                                          <w:color w:val="063081"/>
                                                          <w:sz w:val="20"/>
                                                          <w:szCs w:val="20"/>
                                                          <w:u w:color="063081"/>
                                                        </w:rPr>
                                                        <w:t>À propos d’EIT </w:t>
                                                      </w:r>
                                                      <w:proofErr w:type="spellStart"/>
                                                      <w:r w:rsidRPr="009138B9">
                                                        <w:rPr>
                                                          <w:rFonts w:ascii="Arial" w:hAnsi="Arial" w:cs="Arial"/>
                                                          <w:b/>
                                                          <w:color w:val="063081"/>
                                                          <w:sz w:val="20"/>
                                                          <w:szCs w:val="20"/>
                                                          <w:u w:color="063081"/>
                                                        </w:rPr>
                                                        <w:t>InnoEnergy</w:t>
                                                      </w:r>
                                                      <w:proofErr w:type="spellEnd"/>
                                                    </w:p>
                                                    <w:p w:rsidR="009138B9" w:rsidRPr="009138B9" w:rsidRDefault="009138B9" w:rsidP="009138B9">
                                                      <w:pPr>
                                                        <w:pStyle w:val="04Bodytext"/>
                                                        <w:spacing w:before="120" w:after="120" w:line="276" w:lineRule="auto"/>
                                                        <w:jc w:val="both"/>
                                                        <w:rPr>
                                                          <w:rFonts w:ascii="Arial" w:hAnsi="Arial" w:cs="Arial"/>
                                                          <w:sz w:val="18"/>
                                                          <w:szCs w:val="18"/>
                                                        </w:rPr>
                                                      </w:pPr>
                                                      <w:r w:rsidRPr="009138B9">
                                                        <w:rPr>
                                                          <w:rFonts w:ascii="Arial" w:hAnsi="Arial" w:cs="Arial"/>
                                                          <w:sz w:val="18"/>
                                                          <w:szCs w:val="18"/>
                                                        </w:rPr>
                                                        <w:t xml:space="preserve">EIT </w:t>
                                                      </w:r>
                                                      <w:proofErr w:type="spellStart"/>
                                                      <w:r w:rsidRPr="009138B9">
                                                        <w:rPr>
                                                          <w:rFonts w:ascii="Arial" w:hAnsi="Arial" w:cs="Arial"/>
                                                          <w:sz w:val="18"/>
                                                          <w:szCs w:val="18"/>
                                                        </w:rPr>
                                                        <w:t>InnoEnergy</w:t>
                                                      </w:r>
                                                      <w:proofErr w:type="spellEnd"/>
                                                      <w:r w:rsidRPr="009138B9">
                                                        <w:rPr>
                                                          <w:rFonts w:ascii="Arial" w:hAnsi="Arial" w:cs="Arial"/>
                                                          <w:sz w:val="18"/>
                                                          <w:szCs w:val="18"/>
                                                        </w:rPr>
                                                        <w:t xml:space="preserve"> est le moteur de l'innovation pour l'énergie durable. Nous rassemblons les personnes et les ressources, catalysant et accélérant la transition énergétique.</w:t>
                                                      </w:r>
                                                    </w:p>
                                                    <w:p w:rsidR="009138B9" w:rsidRPr="009138B9" w:rsidRDefault="009138B9" w:rsidP="009138B9">
                                                      <w:pPr>
                                                        <w:pStyle w:val="04Bodytext"/>
                                                        <w:spacing w:before="120" w:after="120" w:line="276" w:lineRule="auto"/>
                                                        <w:jc w:val="both"/>
                                                        <w:rPr>
                                                          <w:rFonts w:ascii="Arial" w:hAnsi="Arial" w:cs="Arial"/>
                                                          <w:sz w:val="18"/>
                                                          <w:szCs w:val="18"/>
                                                        </w:rPr>
                                                      </w:pPr>
                                                      <w:r w:rsidRPr="009138B9">
                                                        <w:rPr>
                                                          <w:rFonts w:ascii="Arial" w:hAnsi="Arial" w:cs="Arial"/>
                                                          <w:sz w:val="18"/>
                                                          <w:szCs w:val="18"/>
                                                        </w:rPr>
                                                        <w:t>Nous nous engageons à chaque étape du voyage - de la salle de classe au client final. Opérant au cœur de la transition énergétique, nous construisons des connexions dans le monde entier, réunissant des innovateurs et des industriels, des entrepreneurs et des investisseurs, des diplômés et des employeurs.</w:t>
                                                      </w:r>
                                                    </w:p>
                                                    <w:p w:rsidR="009138B9" w:rsidRPr="009138B9" w:rsidRDefault="009138B9" w:rsidP="009138B9">
                                                      <w:pPr>
                                                        <w:pStyle w:val="04Bodytext"/>
                                                        <w:spacing w:before="120" w:after="120" w:line="276" w:lineRule="auto"/>
                                                        <w:jc w:val="both"/>
                                                        <w:rPr>
                                                          <w:rFonts w:ascii="Arial" w:hAnsi="Arial" w:cs="Arial"/>
                                                          <w:sz w:val="18"/>
                                                          <w:szCs w:val="18"/>
                                                        </w:rPr>
                                                      </w:pPr>
                                                      <w:r w:rsidRPr="009138B9">
                                                        <w:rPr>
                                                          <w:rFonts w:ascii="Arial" w:hAnsi="Arial" w:cs="Arial"/>
                                                          <w:sz w:val="18"/>
                                                          <w:szCs w:val="18"/>
                                                        </w:rPr>
                                                        <w:t>Notre accompagnement sur-mesure pour accélérer l'innovation énergétique durable, ne connaît ni frontière ni limite :</w:t>
                                                      </w:r>
                                                    </w:p>
                                                    <w:p w:rsidR="009138B9" w:rsidRPr="009138B9" w:rsidRDefault="009138B9" w:rsidP="009138B9">
                                                      <w:pPr>
                                                        <w:pStyle w:val="04Bodytext"/>
                                                        <w:spacing w:before="120" w:after="120" w:line="276" w:lineRule="auto"/>
                                                        <w:jc w:val="both"/>
                                                        <w:rPr>
                                                          <w:rFonts w:ascii="Arial" w:hAnsi="Arial" w:cs="Arial"/>
                                                          <w:sz w:val="18"/>
                                                          <w:szCs w:val="18"/>
                                                        </w:rPr>
                                                      </w:pPr>
                                                      <w:r w:rsidRPr="009138B9">
                                                        <w:rPr>
                                                          <w:rFonts w:ascii="Arial" w:hAnsi="Arial" w:cs="Arial"/>
                                                          <w:sz w:val="18"/>
                                                          <w:szCs w:val="18"/>
                                                        </w:rPr>
                                                        <w:t xml:space="preserve">• </w:t>
                                                      </w:r>
                                                      <w:r w:rsidRPr="009138B9">
                                                        <w:rPr>
                                                          <w:rFonts w:ascii="Arial" w:hAnsi="Arial" w:cs="Arial"/>
                                                          <w:b/>
                                                          <w:bCs/>
                                                          <w:sz w:val="18"/>
                                                          <w:szCs w:val="18"/>
                                                        </w:rPr>
                                                        <w:t>L'industrie</w:t>
                                                      </w:r>
                                                      <w:r w:rsidRPr="009138B9">
                                                        <w:rPr>
                                                          <w:rFonts w:ascii="Arial" w:hAnsi="Arial" w:cs="Arial"/>
                                                          <w:sz w:val="18"/>
                                                          <w:szCs w:val="18"/>
                                                        </w:rPr>
                                                        <w:t xml:space="preserve"> est liée à l'innovation et aux diplômés, fournissant des technologies commercialement attrayantes qui couvrent la chaîne de valeur énergétique et les meilleurs talents pour améliorer l'innovation (statistiques d'impact, emplois, impact économique, impact sociétal et impact entrepreneurial)</w:t>
                                                      </w:r>
                                                    </w:p>
                                                    <w:p w:rsidR="009138B9" w:rsidRPr="009138B9" w:rsidRDefault="009138B9" w:rsidP="009138B9">
                                                      <w:pPr>
                                                        <w:pStyle w:val="04Bodytext"/>
                                                        <w:spacing w:before="120" w:after="120" w:line="276" w:lineRule="auto"/>
                                                        <w:jc w:val="both"/>
                                                        <w:rPr>
                                                          <w:rFonts w:ascii="Arial" w:hAnsi="Arial" w:cs="Arial"/>
                                                          <w:sz w:val="18"/>
                                                          <w:szCs w:val="18"/>
                                                        </w:rPr>
                                                      </w:pPr>
                                                      <w:r w:rsidRPr="009138B9">
                                                        <w:rPr>
                                                          <w:rFonts w:ascii="Arial" w:hAnsi="Arial" w:cs="Arial"/>
                                                          <w:sz w:val="18"/>
                                                          <w:szCs w:val="18"/>
                                                        </w:rPr>
                                                        <w:t xml:space="preserve">• Les </w:t>
                                                      </w:r>
                                                      <w:r w:rsidRPr="009138B9">
                                                        <w:rPr>
                                                          <w:rFonts w:ascii="Arial" w:hAnsi="Arial" w:cs="Arial"/>
                                                          <w:b/>
                                                          <w:bCs/>
                                                          <w:sz w:val="18"/>
                                                          <w:szCs w:val="18"/>
                                                        </w:rPr>
                                                        <w:t xml:space="preserve">start-ups, les </w:t>
                                                      </w:r>
                                                      <w:proofErr w:type="spellStart"/>
                                                      <w:r w:rsidRPr="009138B9">
                                                        <w:rPr>
                                                          <w:rFonts w:ascii="Arial" w:hAnsi="Arial" w:cs="Arial"/>
                                                          <w:b/>
                                                          <w:bCs/>
                                                          <w:sz w:val="18"/>
                                                          <w:szCs w:val="18"/>
                                                        </w:rPr>
                                                        <w:t>scale-ups</w:t>
                                                      </w:r>
                                                      <w:proofErr w:type="spellEnd"/>
                                                      <w:r w:rsidRPr="009138B9">
                                                        <w:rPr>
                                                          <w:rFonts w:ascii="Arial" w:hAnsi="Arial" w:cs="Arial"/>
                                                          <w:b/>
                                                          <w:bCs/>
                                                          <w:sz w:val="18"/>
                                                          <w:szCs w:val="18"/>
                                                        </w:rPr>
                                                        <w:t xml:space="preserve"> et les innovateurs</w:t>
                                                      </w:r>
                                                      <w:r w:rsidRPr="009138B9">
                                                        <w:rPr>
                                                          <w:rFonts w:ascii="Arial" w:hAnsi="Arial" w:cs="Arial"/>
                                                          <w:sz w:val="18"/>
                                                          <w:szCs w:val="18"/>
                                                        </w:rPr>
                                                        <w:t xml:space="preserve"> reçoivent un soutien sur-mesure pour booster et réduire les risques commerciaux et accélérer la mise sur le marché (9 dimensions)</w:t>
                                                      </w:r>
                                                    </w:p>
                                                    <w:p w:rsidR="009138B9" w:rsidRPr="009138B9" w:rsidRDefault="009138B9" w:rsidP="009138B9">
                                                      <w:pPr>
                                                        <w:pStyle w:val="04Bodytext"/>
                                                        <w:spacing w:before="120" w:after="120" w:line="276" w:lineRule="auto"/>
                                                        <w:jc w:val="both"/>
                                                        <w:rPr>
                                                          <w:rFonts w:ascii="Arial" w:hAnsi="Arial" w:cs="Arial"/>
                                                          <w:sz w:val="18"/>
                                                          <w:szCs w:val="18"/>
                                                        </w:rPr>
                                                      </w:pPr>
                                                      <w:r w:rsidRPr="009138B9">
                                                        <w:rPr>
                                                          <w:rFonts w:ascii="Arial" w:hAnsi="Arial" w:cs="Arial"/>
                                                          <w:sz w:val="18"/>
                                                          <w:szCs w:val="18"/>
                                                        </w:rPr>
                                                        <w:t xml:space="preserve">• Les </w:t>
                                                      </w:r>
                                                      <w:r w:rsidRPr="009138B9">
                                                        <w:rPr>
                                                          <w:rFonts w:ascii="Arial" w:hAnsi="Arial" w:cs="Arial"/>
                                                          <w:b/>
                                                          <w:bCs/>
                                                          <w:sz w:val="18"/>
                                                          <w:szCs w:val="18"/>
                                                        </w:rPr>
                                                        <w:t>étudiants</w:t>
                                                      </w:r>
                                                      <w:r w:rsidRPr="009138B9">
                                                        <w:rPr>
                                                          <w:rFonts w:ascii="Arial" w:hAnsi="Arial" w:cs="Arial"/>
                                                          <w:sz w:val="18"/>
                                                          <w:szCs w:val="18"/>
                                                        </w:rPr>
                                                        <w:t xml:space="preserve"> ont accès à huit programmes de Master dans 16 universités technologies et grandes écoles, ainsi qu'à des cours en ligne et hybrides.</w:t>
                                                      </w:r>
                                                    </w:p>
                                                    <w:p w:rsidR="009138B9" w:rsidRPr="009138B9" w:rsidRDefault="009138B9" w:rsidP="009138B9">
                                                      <w:pPr>
                                                        <w:pStyle w:val="04Bodytext"/>
                                                        <w:spacing w:before="120" w:after="120" w:line="276" w:lineRule="auto"/>
                                                        <w:jc w:val="both"/>
                                                        <w:rPr>
                                                          <w:rStyle w:val="Hyperlink0"/>
                                                          <w:rFonts w:ascii="Arial" w:hAnsi="Arial" w:cs="Arial"/>
                                                          <w:sz w:val="18"/>
                                                          <w:szCs w:val="18"/>
                                                        </w:rPr>
                                                      </w:pPr>
                                                      <w:r w:rsidRPr="009138B9">
                                                        <w:rPr>
                                                          <w:rFonts w:ascii="Arial" w:hAnsi="Arial" w:cs="Arial"/>
                                                          <w:sz w:val="18"/>
                                                          <w:szCs w:val="18"/>
                                                        </w:rPr>
                                                        <w:t xml:space="preserve">Rassembler ces disciplines maximise l'impact de chacune, accélère le développement de solutions prêtes pour le marché et crée un environnement fertile dans lequel nous pouvons vendre les résultats innovants de notre travail. EIT </w:t>
                                                      </w:r>
                                                      <w:proofErr w:type="spellStart"/>
                                                      <w:r w:rsidRPr="009138B9">
                                                        <w:rPr>
                                                          <w:rFonts w:ascii="Arial" w:hAnsi="Arial" w:cs="Arial"/>
                                                          <w:sz w:val="18"/>
                                                          <w:szCs w:val="18"/>
                                                        </w:rPr>
                                                        <w:t>InnoEnergy</w:t>
                                                      </w:r>
                                                      <w:proofErr w:type="spellEnd"/>
                                                      <w:r w:rsidRPr="009138B9">
                                                        <w:rPr>
                                                          <w:rFonts w:ascii="Arial" w:hAnsi="Arial" w:cs="Arial"/>
                                                          <w:sz w:val="18"/>
                                                          <w:szCs w:val="18"/>
                                                        </w:rPr>
                                                        <w:t xml:space="preserve"> a été créé en 2010 et est soutenu par l'Institut européen d'innovation et de technologie (EIT).</w:t>
                                                      </w:r>
                                                      <w:hyperlink r:id="rId10" w:history="1">
                                                        <w:r w:rsidRPr="009138B9">
                                                          <w:rPr>
                                                            <w:rStyle w:val="Hyperlink0"/>
                                                            <w:rFonts w:ascii="Arial" w:hAnsi="Arial" w:cs="Arial"/>
                                                            <w:sz w:val="18"/>
                                                            <w:szCs w:val="18"/>
                                                          </w:rPr>
                                                          <w:t>https://innoenergy.com/</w:t>
                                                        </w:r>
                                                      </w:hyperlink>
                                                    </w:p>
                                                    <w:p w:rsidR="009138B9" w:rsidRPr="009138B9" w:rsidRDefault="009138B9" w:rsidP="009138B9">
                                                      <w:pPr>
                                                        <w:pStyle w:val="NormalWeb"/>
                                                        <w:spacing w:before="0" w:beforeAutospacing="0" w:after="0" w:afterAutospacing="0" w:line="276" w:lineRule="auto"/>
                                                        <w:jc w:val="both"/>
                                                        <w:rPr>
                                                          <w:rFonts w:ascii="Arial" w:hAnsi="Arial" w:cs="Arial"/>
                                                          <w:color w:val="000000"/>
                                                          <w:sz w:val="21"/>
                                                          <w:szCs w:val="21"/>
                                                        </w:rPr>
                                                      </w:pPr>
                                                    </w:p>
                                                  </w:tc>
                                                </w:tr>
                                              </w:tbl>
                                              <w:tbl>
                                                <w:tblPr>
                                                  <w:tblW w:w="0" w:type="auto"/>
                                                  <w:jc w:val="center"/>
                                                  <w:tblCellMar>
                                                    <w:left w:w="0" w:type="dxa"/>
                                                    <w:right w:w="0" w:type="dxa"/>
                                                  </w:tblCellMar>
                                                  <w:tblLook w:val="04A0" w:firstRow="1" w:lastRow="0" w:firstColumn="1" w:lastColumn="0" w:noHBand="0" w:noVBand="1"/>
                                                </w:tblPr>
                                                <w:tblGrid>
                                                  <w:gridCol w:w="59"/>
                                                </w:tblGrid>
                                                <w:tr w:rsidR="009138B9" w:rsidRPr="009138B9">
                                                  <w:trPr>
                                                    <w:trHeight w:val="150"/>
                                                    <w:jc w:val="center"/>
                                                  </w:trPr>
                                                  <w:tc>
                                                    <w:tcPr>
                                                      <w:tcW w:w="0" w:type="auto"/>
                                                      <w:vAlign w:val="center"/>
                                                      <w:hideMark/>
                                                    </w:tcPr>
                                                    <w:p w:rsidR="009138B9" w:rsidRPr="009138B9" w:rsidRDefault="009138B9" w:rsidP="009138B9">
                                                      <w:pPr>
                                                        <w:spacing w:line="150" w:lineRule="exact"/>
                                                        <w:jc w:val="both"/>
                                                        <w:rPr>
                                                          <w:rFonts w:ascii="Arial" w:hAnsi="Arial" w:cs="Arial"/>
                                                          <w:color w:val="000000"/>
                                                          <w:sz w:val="21"/>
                                                          <w:szCs w:val="21"/>
                                                        </w:rPr>
                                                      </w:pPr>
                                                      <w:r w:rsidRPr="009138B9">
                                                        <w:rPr>
                                                          <w:rFonts w:ascii="Arial" w:hAnsi="Arial" w:cs="Arial"/>
                                                          <w:color w:val="000000"/>
                                                          <w:sz w:val="21"/>
                                                          <w:szCs w:val="21"/>
                                                        </w:rPr>
                                                        <w:lastRenderedPageBreak/>
                                                        <w:t xml:space="preserve">  </w:t>
                                                      </w:r>
                                                    </w:p>
                                                  </w:tc>
                                                </w:tr>
                                              </w:tbl>
                                              <w:p w:rsidR="009138B9" w:rsidRPr="009138B9" w:rsidRDefault="009138B9" w:rsidP="009138B9">
                                                <w:pPr>
                                                  <w:jc w:val="both"/>
                                                  <w:rPr>
                                                    <w:rFonts w:ascii="Arial" w:hAnsi="Arial" w:cs="Arial"/>
                                                    <w:color w:val="000000"/>
                                                    <w:sz w:val="21"/>
                                                    <w:szCs w:val="21"/>
                                                  </w:rPr>
                                                </w:pPr>
                                              </w:p>
                                            </w:tc>
                                          </w:tr>
                                        </w:tbl>
                                        <w:p w:rsidR="009138B9" w:rsidRDefault="009138B9" w:rsidP="009138B9">
                                          <w:pPr>
                                            <w:jc w:val="both"/>
                                            <w:rPr>
                                              <w:rFonts w:eastAsia="Times New Roman"/>
                                              <w:sz w:val="20"/>
                                              <w:szCs w:val="20"/>
                                            </w:rPr>
                                          </w:pPr>
                                        </w:p>
                                      </w:tc>
                                    </w:tr>
                                  </w:tbl>
                                  <w:p w:rsidR="009138B9" w:rsidRDefault="009138B9" w:rsidP="009138B9">
                                    <w:pPr>
                                      <w:jc w:val="both"/>
                                      <w:rPr>
                                        <w:rFonts w:eastAsia="Times New Roman"/>
                                        <w:sz w:val="20"/>
                                        <w:szCs w:val="20"/>
                                      </w:rPr>
                                    </w:pPr>
                                  </w:p>
                                </w:tc>
                              </w:tr>
                            </w:tbl>
                            <w:p w:rsidR="009138B9" w:rsidRDefault="009138B9" w:rsidP="009138B9">
                              <w:pPr>
                                <w:jc w:val="both"/>
                                <w:rPr>
                                  <w:rFonts w:eastAsia="Times New Roman"/>
                                  <w:sz w:val="20"/>
                                  <w:szCs w:val="20"/>
                                </w:rPr>
                              </w:pPr>
                            </w:p>
                          </w:tc>
                          <w:tc>
                            <w:tcPr>
                              <w:tcW w:w="150" w:type="dxa"/>
                              <w:shd w:val="clear" w:color="auto" w:fill="FFFFFF"/>
                              <w:vAlign w:val="center"/>
                              <w:hideMark/>
                            </w:tcPr>
                            <w:p w:rsidR="009138B9" w:rsidRDefault="009138B9" w:rsidP="009138B9">
                              <w:pPr>
                                <w:jc w:val="both"/>
                                <w:rPr>
                                  <w:rFonts w:eastAsia="Times New Roman"/>
                                  <w:sz w:val="20"/>
                                  <w:szCs w:val="20"/>
                                </w:rPr>
                              </w:pPr>
                            </w:p>
                          </w:tc>
                        </w:tr>
                      </w:tbl>
                      <w:p w:rsidR="009138B9" w:rsidRDefault="009138B9" w:rsidP="009138B9">
                        <w:pPr>
                          <w:jc w:val="both"/>
                          <w:rPr>
                            <w:rFonts w:eastAsia="Times New Roman"/>
                            <w:sz w:val="20"/>
                            <w:szCs w:val="20"/>
                          </w:rPr>
                        </w:pPr>
                      </w:p>
                    </w:tc>
                  </w:tr>
                </w:tbl>
                <w:p w:rsidR="009138B9" w:rsidRDefault="009138B9">
                  <w:pPr>
                    <w:rPr>
                      <w:rFonts w:eastAsia="Times New Roman"/>
                    </w:rPr>
                  </w:pPr>
                </w:p>
                <w:p w:rsidR="009138B9" w:rsidRDefault="009138B9">
                  <w:pPr>
                    <w:rPr>
                      <w:rFonts w:eastAsia="Times New Roman"/>
                    </w:rPr>
                  </w:pPr>
                  <w:bookmarkStart w:id="1" w:name="_GoBack"/>
                  <w:bookmarkEnd w:id="1"/>
                </w:p>
                <w:tbl>
                  <w:tblPr>
                    <w:tblW w:w="5000" w:type="pct"/>
                    <w:tblCellMar>
                      <w:left w:w="0" w:type="dxa"/>
                      <w:right w:w="0" w:type="dxa"/>
                    </w:tblCellMar>
                    <w:tblLook w:val="04A0" w:firstRow="1" w:lastRow="0" w:firstColumn="1" w:lastColumn="0" w:noHBand="0" w:noVBand="1"/>
                  </w:tblPr>
                  <w:tblGrid>
                    <w:gridCol w:w="9072"/>
                  </w:tblGrid>
                  <w:tr w:rsidR="009138B9">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9138B9">
                          <w:tc>
                            <w:tcPr>
                              <w:tcW w:w="150" w:type="dxa"/>
                              <w:shd w:val="clear" w:color="auto" w:fill="FFFFFF"/>
                              <w:vAlign w:val="center"/>
                              <w:hideMark/>
                            </w:tcPr>
                            <w:p w:rsidR="009138B9" w:rsidRDefault="009138B9">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9138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9138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9138B9">
                                                  <w:tc>
                                                    <w:tcPr>
                                                      <w:tcW w:w="0" w:type="auto"/>
                                                      <w:vAlign w:val="center"/>
                                                      <w:hideMark/>
                                                    </w:tcPr>
                                                    <w:p w:rsidR="009138B9" w:rsidRDefault="009138B9">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shd w:val="clear" w:color="auto" w:fill="FFFFFF"/>
                              <w:vAlign w:val="center"/>
                              <w:hideMark/>
                            </w:tcPr>
                            <w:p w:rsidR="009138B9" w:rsidRDefault="009138B9">
                              <w:pPr>
                                <w:rPr>
                                  <w:rFonts w:eastAsia="Times New Roman"/>
                                  <w:sz w:val="20"/>
                                  <w:szCs w:val="20"/>
                                </w:rPr>
                              </w:pPr>
                            </w:p>
                          </w:tc>
                        </w:tr>
                      </w:tbl>
                      <w:p w:rsidR="009138B9" w:rsidRDefault="009138B9">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138B9">
                          <w:trPr>
                            <w:trHeight w:val="150"/>
                          </w:trPr>
                          <w:tc>
                            <w:tcPr>
                              <w:tcW w:w="9750" w:type="dxa"/>
                              <w:shd w:val="clear" w:color="auto" w:fill="FFFFFF"/>
                              <w:tcMar>
                                <w:top w:w="0" w:type="dxa"/>
                                <w:left w:w="150" w:type="dxa"/>
                                <w:bottom w:w="0" w:type="dxa"/>
                                <w:right w:w="150" w:type="dxa"/>
                              </w:tcMar>
                              <w:vAlign w:val="center"/>
                              <w:hideMark/>
                            </w:tcPr>
                            <w:p w:rsidR="009138B9" w:rsidRDefault="009138B9">
                              <w:pPr>
                                <w:spacing w:line="150" w:lineRule="exact"/>
                                <w:rPr>
                                  <w:rFonts w:eastAsia="Times New Roman"/>
                                  <w:sz w:val="15"/>
                                  <w:szCs w:val="15"/>
                                </w:rPr>
                              </w:pPr>
                              <w:r>
                                <w:rPr>
                                  <w:rFonts w:eastAsia="Times New Roman"/>
                                  <w:sz w:val="15"/>
                                  <w:szCs w:val="15"/>
                                </w:rPr>
                                <w:t xml:space="preserve">  </w:t>
                              </w:r>
                            </w:p>
                          </w:tc>
                        </w:tr>
                      </w:tbl>
                      <w:p w:rsidR="009138B9" w:rsidRDefault="009138B9">
                        <w:pPr>
                          <w:rPr>
                            <w:rFonts w:eastAsia="Times New Roman"/>
                            <w:sz w:val="20"/>
                            <w:szCs w:val="20"/>
                          </w:rPr>
                        </w:pPr>
                      </w:p>
                    </w:tc>
                  </w:tr>
                  <w:tr w:rsidR="009138B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138B9">
                          <w:tc>
                            <w:tcPr>
                              <w:tcW w:w="150" w:type="dxa"/>
                              <w:vAlign w:val="center"/>
                              <w:hideMark/>
                            </w:tcPr>
                            <w:p w:rsidR="009138B9" w:rsidRDefault="009138B9">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138B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138B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138B9">
                                            <w:tc>
                                              <w:tcPr>
                                                <w:tcW w:w="0" w:type="auto"/>
                                                <w:tcMar>
                                                  <w:top w:w="300" w:type="dxa"/>
                                                  <w:left w:w="300" w:type="dxa"/>
                                                  <w:bottom w:w="300" w:type="dxa"/>
                                                  <w:right w:w="300" w:type="dxa"/>
                                                </w:tcMar>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tbl>
                            <w:p w:rsidR="009138B9" w:rsidRDefault="009138B9">
                              <w:pPr>
                                <w:jc w:val="center"/>
                                <w:rPr>
                                  <w:rFonts w:eastAsia="Times New Roman"/>
                                  <w:sz w:val="20"/>
                                  <w:szCs w:val="20"/>
                                </w:rPr>
                              </w:pPr>
                            </w:p>
                          </w:tc>
                          <w:tc>
                            <w:tcPr>
                              <w:tcW w:w="150" w:type="dxa"/>
                              <w:vAlign w:val="center"/>
                              <w:hideMark/>
                            </w:tcPr>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rPr>
                      <w:rFonts w:eastAsia="Times New Roman"/>
                      <w:sz w:val="20"/>
                      <w:szCs w:val="20"/>
                    </w:rPr>
                  </w:pPr>
                </w:p>
              </w:tc>
            </w:tr>
          </w:tbl>
          <w:p w:rsidR="009138B9" w:rsidRDefault="009138B9">
            <w:pPr>
              <w:jc w:val="center"/>
              <w:rPr>
                <w:rFonts w:eastAsia="Times New Roman"/>
                <w:sz w:val="20"/>
                <w:szCs w:val="20"/>
              </w:rPr>
            </w:pPr>
          </w:p>
        </w:tc>
      </w:tr>
      <w:bookmarkEnd w:id="0"/>
    </w:tbl>
    <w:p w:rsidR="009138B9" w:rsidRDefault="009138B9" w:rsidP="009138B9">
      <w:pPr>
        <w:rPr>
          <w:rFonts w:eastAsia="Times New Roman"/>
        </w:rPr>
      </w:pPr>
    </w:p>
    <w:p w:rsidR="00653CFF" w:rsidRDefault="00653CFF"/>
    <w:sectPr w:rsidR="00653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B9" w:rsidRDefault="009138B9" w:rsidP="009138B9">
      <w:r>
        <w:separator/>
      </w:r>
    </w:p>
  </w:endnote>
  <w:endnote w:type="continuationSeparator" w:id="0">
    <w:p w:rsidR="009138B9" w:rsidRDefault="009138B9" w:rsidP="009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B9" w:rsidRDefault="009138B9" w:rsidP="009138B9">
      <w:r>
        <w:separator/>
      </w:r>
    </w:p>
  </w:footnote>
  <w:footnote w:type="continuationSeparator" w:id="0">
    <w:p w:rsidR="009138B9" w:rsidRDefault="009138B9" w:rsidP="009138B9">
      <w:r>
        <w:continuationSeparator/>
      </w:r>
    </w:p>
  </w:footnote>
  <w:footnote w:id="1">
    <w:p w:rsidR="009138B9" w:rsidRDefault="009138B9" w:rsidP="009138B9">
      <w:pPr>
        <w:pStyle w:val="Notedebasdepage"/>
      </w:pPr>
      <w:r>
        <w:rPr>
          <w:rStyle w:val="Appelnotedebasdep"/>
        </w:rPr>
        <w:footnoteRef/>
      </w:r>
      <w:r>
        <w:t xml:space="preserve"> </w:t>
      </w:r>
      <w:r w:rsidRPr="00244124">
        <w:t xml:space="preserve">EBA250 </w:t>
      </w:r>
      <w:proofErr w:type="spellStart"/>
      <w:r w:rsidRPr="00244124">
        <w:t>Battery</w:t>
      </w:r>
      <w:proofErr w:type="spellEnd"/>
      <w:r w:rsidRPr="00244124">
        <w:t xml:space="preserve"> </w:t>
      </w:r>
      <w:proofErr w:type="spellStart"/>
      <w:r w:rsidRPr="00244124">
        <w:t>Academy</w:t>
      </w:r>
      <w:proofErr w:type="spellEnd"/>
      <w:r w:rsidRPr="00B22B5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B9"/>
    <w:rsid w:val="00567B9F"/>
    <w:rsid w:val="00594321"/>
    <w:rsid w:val="00653CFF"/>
    <w:rsid w:val="009138B9"/>
    <w:rsid w:val="00BC2965"/>
    <w:rsid w:val="00FD0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8DEC"/>
  <w15:chartTrackingRefBased/>
  <w15:docId w15:val="{F7A6D764-BAAB-4C20-BF15-631247BD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B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38B9"/>
    <w:rPr>
      <w:color w:val="0000FF"/>
      <w:u w:val="single"/>
    </w:rPr>
  </w:style>
  <w:style w:type="paragraph" w:styleId="NormalWeb">
    <w:name w:val="Normal (Web)"/>
    <w:basedOn w:val="Normal"/>
    <w:uiPriority w:val="99"/>
    <w:unhideWhenUsed/>
    <w:rsid w:val="009138B9"/>
    <w:pPr>
      <w:spacing w:before="100" w:beforeAutospacing="1" w:after="100" w:afterAutospacing="1"/>
    </w:pPr>
  </w:style>
  <w:style w:type="character" w:styleId="lev">
    <w:name w:val="Strong"/>
    <w:basedOn w:val="Policepardfaut"/>
    <w:uiPriority w:val="22"/>
    <w:qFormat/>
    <w:rsid w:val="009138B9"/>
    <w:rPr>
      <w:b/>
      <w:bCs/>
    </w:rPr>
  </w:style>
  <w:style w:type="paragraph" w:styleId="PrformatHTML">
    <w:name w:val="HTML Preformatted"/>
    <w:basedOn w:val="Normal"/>
    <w:link w:val="PrformatHTMLCar"/>
    <w:uiPriority w:val="99"/>
    <w:unhideWhenUsed/>
    <w:rsid w:val="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138B9"/>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9138B9"/>
    <w:rPr>
      <w:rFonts w:ascii="Calibri" w:hAnsi="Calibri" w:cs="Calibri"/>
      <w:sz w:val="20"/>
      <w:szCs w:val="20"/>
      <w:lang w:eastAsia="en-US"/>
    </w:rPr>
  </w:style>
  <w:style w:type="character" w:customStyle="1" w:styleId="NotedebasdepageCar">
    <w:name w:val="Note de bas de page Car"/>
    <w:basedOn w:val="Policepardfaut"/>
    <w:link w:val="Notedebasdepage"/>
    <w:uiPriority w:val="99"/>
    <w:semiHidden/>
    <w:rsid w:val="009138B9"/>
    <w:rPr>
      <w:rFonts w:ascii="Calibri" w:hAnsi="Calibri" w:cs="Calibri"/>
      <w:sz w:val="20"/>
      <w:szCs w:val="20"/>
    </w:rPr>
  </w:style>
  <w:style w:type="character" w:styleId="Appelnotedebasdep">
    <w:name w:val="footnote reference"/>
    <w:basedOn w:val="Policepardfaut"/>
    <w:uiPriority w:val="99"/>
    <w:semiHidden/>
    <w:unhideWhenUsed/>
    <w:rsid w:val="009138B9"/>
    <w:rPr>
      <w:vertAlign w:val="superscript"/>
    </w:rPr>
  </w:style>
  <w:style w:type="paragraph" w:customStyle="1" w:styleId="04Bodytext">
    <w:name w:val="04. Body text"/>
    <w:rsid w:val="009138B9"/>
    <w:pPr>
      <w:pBdr>
        <w:top w:val="nil"/>
        <w:left w:val="nil"/>
        <w:bottom w:val="nil"/>
        <w:right w:val="nil"/>
        <w:between w:val="nil"/>
        <w:bar w:val="nil"/>
      </w:pBdr>
      <w:suppressAutoHyphens/>
      <w:spacing w:before="240" w:after="240" w:line="288" w:lineRule="auto"/>
      <w:ind w:left="28"/>
    </w:pPr>
    <w:rPr>
      <w:rFonts w:ascii="Calibri Light" w:eastAsia="Arial Unicode MS" w:hAnsi="Calibri Light" w:cs="Arial Unicode MS"/>
      <w:color w:val="000000"/>
      <w:u w:color="000000"/>
      <w:bdr w:val="nil"/>
    </w:rPr>
  </w:style>
  <w:style w:type="paragraph" w:customStyle="1" w:styleId="Body">
    <w:name w:val="Body"/>
    <w:rsid w:val="009138B9"/>
    <w:pPr>
      <w:pBdr>
        <w:top w:val="nil"/>
        <w:left w:val="nil"/>
        <w:bottom w:val="nil"/>
        <w:right w:val="nil"/>
        <w:between w:val="nil"/>
        <w:bar w:val="nil"/>
      </w:pBdr>
      <w:spacing w:after="0" w:line="264" w:lineRule="auto"/>
    </w:pPr>
    <w:rPr>
      <w:rFonts w:ascii="Calibri Light" w:eastAsia="Arial Unicode MS" w:hAnsi="Calibri Light"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Policepardfaut"/>
    <w:rsid w:val="009138B9"/>
    <w:rPr>
      <w:outline w:val="0"/>
      <w:color w:val="0563C1"/>
      <w:u w:val="single" w:color="0563C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sarbacane.com/5b23cd31b85b536066d9291a/templates/l_rXJujpTIK5vTC5lm4PmA/d16db6c1423f9c979f25a4037e23c1369a4c3dcf.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DC-RGPD-CAB@ddc.social.gouv.fr" TargetMode="External"/><Relationship Id="rId5" Type="http://schemas.openxmlformats.org/officeDocument/2006/relationships/endnotes" Target="endnotes.xml"/><Relationship Id="rId10" Type="http://schemas.openxmlformats.org/officeDocument/2006/relationships/hyperlink" Target="https://innoenergy.com//" TargetMode="External"/><Relationship Id="rId4" Type="http://schemas.openxmlformats.org/officeDocument/2006/relationships/footnotes" Target="footnotes.xml"/><Relationship Id="rId9" Type="http://schemas.openxmlformats.org/officeDocument/2006/relationships/hyperlink" Target="https://www.innoenergy.com/?utm_source=Press%20release%20by%20Aspectus&amp;utm_medium=PR&amp;utm_campaign=EBA250&amp;utm_content=Press%20relea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2021-07-06T16:41:00Z</cp:lastPrinted>
  <dcterms:created xsi:type="dcterms:W3CDTF">2021-07-06T16:42:00Z</dcterms:created>
  <dcterms:modified xsi:type="dcterms:W3CDTF">2021-07-06T16:42:00Z</dcterms:modified>
</cp:coreProperties>
</file>