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7C210B" w:rsidTr="007C210B">
        <w:trPr>
          <w:jc w:val="center"/>
        </w:trPr>
        <w:tc>
          <w:tcPr>
            <w:tcW w:w="0" w:type="auto"/>
          </w:tcPr>
          <w:p w:rsidR="00847679" w:rsidRDefault="00847679" w:rsidP="00847679">
            <w:pPr>
              <w:rPr>
                <w:color w:val="000000"/>
              </w:rPr>
            </w:pP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847679" w:rsidTr="00847679">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72"/>
                  </w:tblGrid>
                  <w:tr w:rsidR="00847679">
                    <w:trPr>
                      <w:trHeight w:val="150"/>
                    </w:trPr>
                    <w:tc>
                      <w:tcPr>
                        <w:tcW w:w="9750" w:type="dxa"/>
                        <w:shd w:val="clear" w:color="auto" w:fill="FFFFFF"/>
                        <w:tcMar>
                          <w:top w:w="0" w:type="dxa"/>
                          <w:left w:w="150" w:type="dxa"/>
                          <w:bottom w:w="0" w:type="dxa"/>
                          <w:right w:w="150" w:type="dxa"/>
                        </w:tcMar>
                        <w:vAlign w:val="center"/>
                        <w:hideMark/>
                      </w:tcPr>
                      <w:p w:rsidR="00847679" w:rsidRDefault="00847679" w:rsidP="00847679">
                        <w:pPr>
                          <w:spacing w:line="150" w:lineRule="exact"/>
                          <w:rPr>
                            <w:lang w:eastAsia="en-US"/>
                          </w:rPr>
                        </w:pPr>
                        <w:r>
                          <w:rPr>
                            <w:sz w:val="15"/>
                            <w:szCs w:val="15"/>
                            <w:lang w:eastAsia="en-US"/>
                          </w:rPr>
                          <w:t xml:space="preserve">  </w:t>
                        </w:r>
                      </w:p>
                    </w:tc>
                  </w:tr>
                </w:tbl>
                <w:p w:rsidR="00847679" w:rsidRDefault="00847679" w:rsidP="00847679">
                  <w:pPr>
                    <w:spacing w:line="252" w:lineRule="auto"/>
                    <w:rPr>
                      <w:lang w:eastAsia="en-US"/>
                    </w:rPr>
                  </w:pPr>
                  <w:r>
                    <w:rPr>
                      <w:lang w:eastAsia="en-US"/>
                    </w:rPr>
                    <w:t> </w:t>
                  </w:r>
                </w:p>
                <w:tbl>
                  <w:tblPr>
                    <w:tblW w:w="0" w:type="auto"/>
                    <w:tblCellMar>
                      <w:left w:w="0" w:type="dxa"/>
                      <w:right w:w="0" w:type="dxa"/>
                    </w:tblCellMar>
                    <w:tblLook w:val="04A0" w:firstRow="1" w:lastRow="0" w:firstColumn="1" w:lastColumn="0" w:noHBand="0" w:noVBand="1"/>
                  </w:tblPr>
                  <w:tblGrid>
                    <w:gridCol w:w="6"/>
                    <w:gridCol w:w="9061"/>
                    <w:gridCol w:w="5"/>
                  </w:tblGrid>
                  <w:tr w:rsidR="00847679">
                    <w:tc>
                      <w:tcPr>
                        <w:tcW w:w="150" w:type="dxa"/>
                        <w:shd w:val="clear" w:color="auto" w:fill="FFFFFF"/>
                        <w:vAlign w:val="center"/>
                        <w:hideMark/>
                      </w:tcPr>
                      <w:p w:rsidR="00847679" w:rsidRDefault="00847679" w:rsidP="00847679">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84767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84767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61"/>
                                    </w:tblGrid>
                                    <w:tr w:rsidR="00847679">
                                      <w:tc>
                                        <w:tcPr>
                                          <w:tcW w:w="0" w:type="auto"/>
                                          <w:vAlign w:val="center"/>
                                          <w:hideMark/>
                                        </w:tcPr>
                                        <w:tbl>
                                          <w:tblPr>
                                            <w:tblW w:w="10056" w:type="dxa"/>
                                            <w:jc w:val="center"/>
                                            <w:tblCellMar>
                                              <w:left w:w="0" w:type="dxa"/>
                                              <w:right w:w="0" w:type="dxa"/>
                                            </w:tblCellMar>
                                            <w:tblLook w:val="04A0" w:firstRow="1" w:lastRow="0" w:firstColumn="1" w:lastColumn="0" w:noHBand="0" w:noVBand="1"/>
                                          </w:tblPr>
                                          <w:tblGrid>
                                            <w:gridCol w:w="10056"/>
                                          </w:tblGrid>
                                          <w:tr w:rsidR="00847679">
                                            <w:trPr>
                                              <w:jc w:val="center"/>
                                            </w:trPr>
                                            <w:tc>
                                              <w:tcPr>
                                                <w:tcW w:w="5000" w:type="pct"/>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847679">
                                                  <w:tc>
                                                    <w:tcPr>
                                                      <w:tcW w:w="0" w:type="auto"/>
                                                      <w:vAlign w:val="center"/>
                                                      <w:hideMark/>
                                                    </w:tcPr>
                                                    <w:p w:rsidR="00847679" w:rsidRDefault="00847679" w:rsidP="00847679">
                                                      <w:pPr>
                                                        <w:spacing w:line="0" w:lineRule="atLeast"/>
                                                        <w:rPr>
                                                          <w:lang w:eastAsia="en-US"/>
                                                        </w:rPr>
                                                      </w:pPr>
                                                      <w:r>
                                                        <w:rPr>
                                                          <w:noProof/>
                                                          <w:sz w:val="2"/>
                                                          <w:szCs w:val="2"/>
                                                        </w:rPr>
                                                        <w:drawing>
                                                          <wp:inline distT="0" distB="0" distL="0" distR="0">
                                                            <wp:extent cx="1714500" cy="1428750"/>
                                                            <wp:effectExtent l="0" t="0" r="0" b="0"/>
                                                            <wp:docPr id="7" name="Image 7" descr="cid:image001.png@01D6C587.DCAD7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C587.DCAD73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847679" w:rsidRDefault="00847679" w:rsidP="00847679">
                                                <w:pPr>
                                                  <w:spacing w:line="252" w:lineRule="auto"/>
                                                  <w:rPr>
                                                    <w:lang w:eastAsia="en-US"/>
                                                  </w:rPr>
                                                </w:pPr>
                                                <w:r>
                                                  <w:rPr>
                                                    <w:noProof/>
                                                  </w:rPr>
                                                  <w:drawing>
                                                    <wp:anchor distT="0" distB="0" distL="114300" distR="114300" simplePos="0" relativeHeight="251658240" behindDoc="0" locked="0" layoutInCell="1" allowOverlap="1">
                                                      <wp:simplePos x="0" y="0"/>
                                                      <wp:positionH relativeFrom="column">
                                                        <wp:posOffset>2495550</wp:posOffset>
                                                      </wp:positionH>
                                                      <wp:positionV relativeFrom="paragraph">
                                                        <wp:posOffset>1342390</wp:posOffset>
                                                      </wp:positionV>
                                                      <wp:extent cx="1238885" cy="124650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246505"/>
                                                              </a:xfrm>
                                                              <a:prstGeom prst="rect">
                                                                <a:avLst/>
                                                              </a:prstGeom>
                                                              <a:noFill/>
                                                            </pic:spPr>
                                                          </pic:pic>
                                                        </a:graphicData>
                                                      </a:graphic>
                                                      <wp14:sizeRelH relativeFrom="page">
                                                        <wp14:pctWidth>0</wp14:pctWidth>
                                                      </wp14:sizeRelH>
                                                      <wp14:sizeRelV relativeFrom="page">
                                                        <wp14:pctHeight>0</wp14:pctHeight>
                                                      </wp14:sizeRelV>
                                                    </wp:anchor>
                                                  </w:drawing>
                                                </w:r>
                                              </w:p>
                                            </w:tc>
                                          </w:tr>
                                        </w:tbl>
                                        <w:p w:rsidR="00847679" w:rsidRDefault="00847679" w:rsidP="00847679">
                                          <w:pPr>
                                            <w:spacing w:line="252" w:lineRule="auto"/>
                                            <w:jc w:val="center"/>
                                            <w:rPr>
                                              <w:lang w:eastAsia="en-US"/>
                                            </w:rP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847679">
                                            <w:trPr>
                                              <w:trHeight w:val="300"/>
                                              <w:jc w:val="center"/>
                                            </w:trPr>
                                            <w:tc>
                                              <w:tcPr>
                                                <w:tcW w:w="0" w:type="auto"/>
                                                <w:vAlign w:val="center"/>
                                                <w:hideMark/>
                                              </w:tcPr>
                                              <w:p w:rsidR="00847679" w:rsidRDefault="00847679" w:rsidP="00847679">
                                                <w:pPr>
                                                  <w:spacing w:line="300" w:lineRule="exact"/>
                                                  <w:rPr>
                                                    <w:lang w:eastAsia="en-US"/>
                                                  </w:rPr>
                                                </w:pPr>
                                                <w:r>
                                                  <w:rPr>
                                                    <w:sz w:val="30"/>
                                                    <w:szCs w:val="30"/>
                                                    <w:lang w:eastAsia="en-US"/>
                                                  </w:rPr>
                                                  <w:t xml:space="preserve">  </w:t>
                                                </w:r>
                                              </w:p>
                                            </w:tc>
                                          </w:tr>
                                        </w:tbl>
                                        <w:p w:rsidR="00847679" w:rsidRDefault="00847679" w:rsidP="00847679">
                                          <w:pPr>
                                            <w:jc w:val="center"/>
                                            <w:rPr>
                                              <w:rFonts w:eastAsia="Times New Roman"/>
                                              <w:sz w:val="20"/>
                                              <w:szCs w:val="20"/>
                                            </w:rPr>
                                          </w:pPr>
                                        </w:p>
                                      </w:tc>
                                    </w:tr>
                                  </w:tbl>
                                  <w:p w:rsidR="00847679" w:rsidRDefault="00847679" w:rsidP="00847679">
                                    <w:pPr>
                                      <w:rPr>
                                        <w:rFonts w:eastAsia="Times New Roman"/>
                                        <w:sz w:val="20"/>
                                        <w:szCs w:val="20"/>
                                      </w:rPr>
                                    </w:pPr>
                                  </w:p>
                                </w:tc>
                              </w:tr>
                            </w:tbl>
                            <w:p w:rsidR="00847679" w:rsidRDefault="00847679" w:rsidP="00847679">
                              <w:pPr>
                                <w:jc w:val="center"/>
                                <w:rPr>
                                  <w:rFonts w:eastAsia="Times New Roman"/>
                                  <w:sz w:val="20"/>
                                  <w:szCs w:val="20"/>
                                </w:rPr>
                              </w:pPr>
                            </w:p>
                          </w:tc>
                        </w:tr>
                      </w:tbl>
                      <w:p w:rsidR="00847679" w:rsidRDefault="00847679" w:rsidP="00847679">
                        <w:pPr>
                          <w:jc w:val="center"/>
                          <w:rPr>
                            <w:rFonts w:eastAsia="Times New Roman"/>
                            <w:sz w:val="20"/>
                            <w:szCs w:val="20"/>
                          </w:rPr>
                        </w:pPr>
                      </w:p>
                    </w:tc>
                    <w:tc>
                      <w:tcPr>
                        <w:tcW w:w="150" w:type="dxa"/>
                        <w:shd w:val="clear" w:color="auto" w:fill="FFFFFF"/>
                        <w:vAlign w:val="center"/>
                        <w:hideMark/>
                      </w:tcPr>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bl>
          <w:p w:rsidR="00847679" w:rsidRDefault="00847679" w:rsidP="00847679">
            <w:pPr>
              <w:spacing w:line="252" w:lineRule="auto"/>
              <w:rPr>
                <w:lang w:eastAsia="en-US"/>
              </w:rPr>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847679" w:rsidTr="00847679">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847679">
                    <w:tc>
                      <w:tcPr>
                        <w:tcW w:w="150" w:type="dxa"/>
                        <w:shd w:val="clear" w:color="auto" w:fill="FFFFFF"/>
                        <w:vAlign w:val="center"/>
                        <w:hideMark/>
                      </w:tcPr>
                      <w:p w:rsidR="00847679" w:rsidRDefault="00847679" w:rsidP="00847679">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847679">
                          <w:trPr>
                            <w:jc w:val="center"/>
                          </w:trPr>
                          <w:tc>
                            <w:tcPr>
                              <w:tcW w:w="0" w:type="auto"/>
                              <w:shd w:val="clear" w:color="auto" w:fill="FFFFFF"/>
                              <w:vAlign w:val="center"/>
                            </w:tcPr>
                            <w:p w:rsidR="00847679" w:rsidRDefault="00847679" w:rsidP="00847679">
                              <w:pPr>
                                <w:spacing w:line="252" w:lineRule="auto"/>
                                <w:rPr>
                                  <w:rFonts w:ascii="Calibri" w:hAnsi="Calibri" w:cs="Calibri"/>
                                  <w:color w:val="1F497D"/>
                                  <w:sz w:val="22"/>
                                  <w:szCs w:val="22"/>
                                  <w:lang w:eastAsia="en-US"/>
                                </w:rPr>
                              </w:pPr>
                            </w:p>
                            <w:tbl>
                              <w:tblPr>
                                <w:tblW w:w="5000" w:type="pct"/>
                                <w:jc w:val="center"/>
                                <w:tblCellMar>
                                  <w:left w:w="0" w:type="dxa"/>
                                  <w:right w:w="0" w:type="dxa"/>
                                </w:tblCellMar>
                                <w:tblLook w:val="04A0" w:firstRow="1" w:lastRow="0" w:firstColumn="1" w:lastColumn="0" w:noHBand="0" w:noVBand="1"/>
                              </w:tblPr>
                              <w:tblGrid>
                                <w:gridCol w:w="8808"/>
                              </w:tblGrid>
                              <w:tr w:rsidR="00847679">
                                <w:trPr>
                                  <w:jc w:val="center"/>
                                </w:trPr>
                                <w:tc>
                                  <w:tcPr>
                                    <w:tcW w:w="5000" w:type="pct"/>
                                  </w:tcPr>
                                  <w:p w:rsidR="00847679" w:rsidRDefault="00847679" w:rsidP="00847679">
                                    <w:pPr>
                                      <w:spacing w:line="252" w:lineRule="auto"/>
                                      <w:rPr>
                                        <w:rFonts w:ascii="Calibri" w:hAnsi="Calibri" w:cs="Calibri"/>
                                        <w:color w:val="1F497D"/>
                                        <w:sz w:val="22"/>
                                        <w:szCs w:val="22"/>
                                        <w:lang w:eastAsia="en-US"/>
                                      </w:rPr>
                                    </w:pPr>
                                  </w:p>
                                  <w:tbl>
                                    <w:tblPr>
                                      <w:tblW w:w="5000" w:type="pct"/>
                                      <w:tblCellMar>
                                        <w:left w:w="0" w:type="dxa"/>
                                        <w:right w:w="0" w:type="dxa"/>
                                      </w:tblCellMar>
                                      <w:tblLook w:val="04A0" w:firstRow="1" w:lastRow="0" w:firstColumn="1" w:lastColumn="0" w:noHBand="0" w:noVBand="1"/>
                                    </w:tblPr>
                                    <w:tblGrid>
                                      <w:gridCol w:w="8808"/>
                                    </w:tblGrid>
                                    <w:tr w:rsidR="00847679">
                                      <w:tc>
                                        <w:tcPr>
                                          <w:tcW w:w="0" w:type="auto"/>
                                          <w:tcMar>
                                            <w:top w:w="300" w:type="dxa"/>
                                            <w:left w:w="300" w:type="dxa"/>
                                            <w:bottom w:w="300" w:type="dxa"/>
                                            <w:right w:w="300" w:type="dxa"/>
                                          </w:tcMar>
                                          <w:vAlign w:val="center"/>
                                        </w:tcPr>
                                        <w:p w:rsidR="00847679" w:rsidRDefault="00847679" w:rsidP="00847679">
                                          <w:pPr>
                                            <w:spacing w:line="252" w:lineRule="auto"/>
                                            <w:rPr>
                                              <w:rFonts w:ascii="Calibri" w:hAnsi="Calibri" w:cs="Calibri"/>
                                              <w:color w:val="1F497D"/>
                                              <w:sz w:val="22"/>
                                              <w:szCs w:val="22"/>
                                              <w:lang w:eastAsia="en-US"/>
                                            </w:rPr>
                                          </w:pPr>
                                        </w:p>
                                        <w:tbl>
                                          <w:tblPr>
                                            <w:tblpPr w:vertAnchor="text"/>
                                            <w:tblW w:w="5000" w:type="pct"/>
                                            <w:tblCellMar>
                                              <w:left w:w="0" w:type="dxa"/>
                                              <w:right w:w="0" w:type="dxa"/>
                                            </w:tblCellMar>
                                            <w:tblLook w:val="04A0" w:firstRow="1" w:lastRow="0" w:firstColumn="1" w:lastColumn="0" w:noHBand="0" w:noVBand="1"/>
                                          </w:tblPr>
                                          <w:tblGrid>
                                            <w:gridCol w:w="8208"/>
                                          </w:tblGrid>
                                          <w:tr w:rsidR="00847679">
                                            <w:tc>
                                              <w:tcPr>
                                                <w:tcW w:w="0" w:type="auto"/>
                                                <w:vAlign w:val="center"/>
                                                <w:hideMark/>
                                              </w:tcPr>
                                              <w:p w:rsidR="00847679" w:rsidRDefault="00847679" w:rsidP="00847679">
                                                <w:pPr>
                                                  <w:pStyle w:val="NormalWeb"/>
                                                  <w:spacing w:before="0" w:beforeAutospacing="0" w:after="0" w:afterAutospacing="0" w:line="390" w:lineRule="exact"/>
                                                  <w:jc w:val="center"/>
                                                  <w:rPr>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847679">
                                            <w:trPr>
                                              <w:trHeight w:val="300"/>
                                              <w:jc w:val="center"/>
                                            </w:trPr>
                                            <w:tc>
                                              <w:tcPr>
                                                <w:tcW w:w="0" w:type="auto"/>
                                                <w:vAlign w:val="center"/>
                                                <w:hideMark/>
                                              </w:tcPr>
                                              <w:p w:rsidR="00847679" w:rsidRDefault="00847679" w:rsidP="00847679">
                                                <w:pPr>
                                                  <w:spacing w:line="300" w:lineRule="exact"/>
                                                  <w:rPr>
                                                    <w:lang w:eastAsia="en-US"/>
                                                  </w:rPr>
                                                </w:pPr>
                                                <w:r>
                                                  <w:rPr>
                                                    <w:sz w:val="30"/>
                                                    <w:szCs w:val="30"/>
                                                    <w:lang w:eastAsia="en-US"/>
                                                  </w:rPr>
                                                  <w:t xml:space="preserve">  </w:t>
                                                </w:r>
                                              </w:p>
                                            </w:tc>
                                          </w:tr>
                                        </w:tbl>
                                        <w:p w:rsidR="00847679" w:rsidRDefault="00847679" w:rsidP="00847679">
                                          <w:pPr>
                                            <w:spacing w:line="252" w:lineRule="auto"/>
                                            <w:jc w:val="center"/>
                                            <w:rPr>
                                              <w:lang w:eastAsia="en-US"/>
                                            </w:rPr>
                                          </w:pPr>
                                        </w:p>
                                      </w:tc>
                                    </w:tr>
                                  </w:tbl>
                                  <w:p w:rsidR="00847679" w:rsidRDefault="00847679" w:rsidP="00847679">
                                    <w:pPr>
                                      <w:spacing w:line="252" w:lineRule="auto"/>
                                      <w:rPr>
                                        <w:lang w:eastAsia="en-US"/>
                                      </w:rPr>
                                    </w:pPr>
                                  </w:p>
                                </w:tc>
                              </w:tr>
                            </w:tbl>
                            <w:p w:rsidR="00847679" w:rsidRDefault="00847679" w:rsidP="00847679">
                              <w:pPr>
                                <w:spacing w:line="252" w:lineRule="auto"/>
                                <w:jc w:val="center"/>
                                <w:rPr>
                                  <w:lang w:eastAsia="en-US"/>
                                </w:rPr>
                              </w:pPr>
                            </w:p>
                          </w:tc>
                        </w:tr>
                      </w:tbl>
                      <w:p w:rsidR="00847679" w:rsidRDefault="00847679" w:rsidP="00847679">
                        <w:pPr>
                          <w:jc w:val="center"/>
                          <w:rPr>
                            <w:rFonts w:eastAsia="Times New Roman"/>
                            <w:sz w:val="20"/>
                            <w:szCs w:val="20"/>
                          </w:rPr>
                        </w:pPr>
                      </w:p>
                    </w:tc>
                    <w:tc>
                      <w:tcPr>
                        <w:tcW w:w="150" w:type="dxa"/>
                        <w:shd w:val="clear" w:color="auto" w:fill="FFFFFF"/>
                        <w:vAlign w:val="center"/>
                        <w:hideMark/>
                      </w:tcPr>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r w:rsidR="00847679" w:rsidTr="00847679">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847679">
                    <w:tc>
                      <w:tcPr>
                        <w:tcW w:w="150" w:type="dxa"/>
                        <w:shd w:val="clear" w:color="auto" w:fill="FFFFFF"/>
                        <w:vAlign w:val="center"/>
                        <w:hideMark/>
                      </w:tcPr>
                      <w:p w:rsidR="00847679" w:rsidRDefault="00847679" w:rsidP="0084767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84767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84767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84767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847679">
                                            <w:tc>
                                              <w:tcPr>
                                                <w:tcW w:w="0" w:type="auto"/>
                                                <w:vAlign w:val="center"/>
                                                <w:hideMark/>
                                              </w:tcPr>
                                              <w:p w:rsidR="00847679" w:rsidRDefault="00847679" w:rsidP="00847679">
                                                <w:pPr>
                                                  <w:pStyle w:val="NormalWeb"/>
                                                  <w:spacing w:before="0" w:beforeAutospacing="0" w:after="0" w:afterAutospacing="0" w:line="390" w:lineRule="exact"/>
                                                  <w:jc w:val="right"/>
                                                  <w:rPr>
                                                    <w:rFonts w:ascii="Arial" w:hAnsi="Arial" w:cs="Arial"/>
                                                    <w:sz w:val="18"/>
                                                    <w:szCs w:val="18"/>
                                                    <w:lang w:eastAsia="en-US"/>
                                                  </w:rPr>
                                                </w:pPr>
                                                <w:r>
                                                  <w:rPr>
                                                    <w:rFonts w:ascii="Arial" w:hAnsi="Arial" w:cs="Arial"/>
                                                    <w:color w:val="000000"/>
                                                    <w:sz w:val="18"/>
                                                    <w:szCs w:val="18"/>
                                                    <w:lang w:eastAsia="en-US"/>
                                                  </w:rPr>
                                                  <w:t>Paris, le 28 novembre 2020</w:t>
                                                </w:r>
                                              </w:p>
                                            </w:tc>
                                          </w:tr>
                                        </w:tbl>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bl>
                            <w:p w:rsidR="00847679" w:rsidRDefault="00847679" w:rsidP="00847679">
                              <w:pPr>
                                <w:jc w:val="center"/>
                                <w:rPr>
                                  <w:rFonts w:eastAsia="Times New Roman"/>
                                  <w:sz w:val="20"/>
                                  <w:szCs w:val="20"/>
                                </w:rPr>
                              </w:pPr>
                            </w:p>
                          </w:tc>
                        </w:tr>
                      </w:tbl>
                      <w:p w:rsidR="00847679" w:rsidRDefault="00847679" w:rsidP="00847679">
                        <w:pPr>
                          <w:jc w:val="center"/>
                          <w:rPr>
                            <w:rFonts w:eastAsia="Times New Roman"/>
                            <w:sz w:val="20"/>
                            <w:szCs w:val="20"/>
                          </w:rPr>
                        </w:pPr>
                      </w:p>
                    </w:tc>
                    <w:tc>
                      <w:tcPr>
                        <w:tcW w:w="150" w:type="dxa"/>
                        <w:shd w:val="clear" w:color="auto" w:fill="FFFFFF"/>
                        <w:vAlign w:val="center"/>
                        <w:hideMark/>
                      </w:tcPr>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bl>
          <w:p w:rsidR="00847679" w:rsidRDefault="00847679" w:rsidP="00847679">
            <w:pPr>
              <w:spacing w:line="252" w:lineRule="auto"/>
              <w:rPr>
                <w:lang w:eastAsia="en-US"/>
              </w:rPr>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847679" w:rsidTr="00847679">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2"/>
                    <w:gridCol w:w="5"/>
                  </w:tblGrid>
                  <w:tr w:rsidR="00847679">
                    <w:tc>
                      <w:tcPr>
                        <w:tcW w:w="150" w:type="dxa"/>
                        <w:shd w:val="clear" w:color="auto" w:fill="FFFFFF"/>
                        <w:vAlign w:val="center"/>
                        <w:hideMark/>
                      </w:tcPr>
                      <w:p w:rsidR="00847679" w:rsidRDefault="00847679" w:rsidP="00847679">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2"/>
                        </w:tblGrid>
                        <w:tr w:rsidR="0084767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401"/>
                                <w:gridCol w:w="661"/>
                              </w:tblGrid>
                              <w:tr w:rsidR="00847679">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8401"/>
                                    </w:tblGrid>
                                    <w:tr w:rsidR="00847679">
                                      <w:tc>
                                        <w:tcPr>
                                          <w:tcW w:w="0" w:type="auto"/>
                                          <w:tcMar>
                                            <w:top w:w="300" w:type="dxa"/>
                                            <w:left w:w="300" w:type="dxa"/>
                                            <w:bottom w:w="300" w:type="dxa"/>
                                            <w:right w:w="300" w:type="dxa"/>
                                          </w:tcMar>
                                          <w:vAlign w:val="center"/>
                                          <w:hideMark/>
                                        </w:tcPr>
                                        <w:tbl>
                                          <w:tblPr>
                                            <w:tblpPr w:vertAnchor="text"/>
                                            <w:tblW w:w="9639" w:type="dxa"/>
                                            <w:tblCellMar>
                                              <w:left w:w="0" w:type="dxa"/>
                                              <w:right w:w="0" w:type="dxa"/>
                                            </w:tblCellMar>
                                            <w:tblLook w:val="04A0" w:firstRow="1" w:lastRow="0" w:firstColumn="1" w:lastColumn="0" w:noHBand="0" w:noVBand="1"/>
                                          </w:tblPr>
                                          <w:tblGrid>
                                            <w:gridCol w:w="9639"/>
                                          </w:tblGrid>
                                          <w:tr w:rsidR="00847679">
                                            <w:tc>
                                              <w:tcPr>
                                                <w:tcW w:w="5000" w:type="pct"/>
                                                <w:vAlign w:val="center"/>
                                                <w:hideMark/>
                                              </w:tcPr>
                                              <w:p w:rsidR="00847679" w:rsidRDefault="00847679" w:rsidP="00847679">
                                                <w:pPr>
                                                  <w:pStyle w:val="NormalWeb"/>
                                                  <w:spacing w:before="0" w:beforeAutospacing="0" w:after="0" w:afterAutospacing="0" w:line="330" w:lineRule="exact"/>
                                                  <w:rPr>
                                                    <w:lang w:eastAsia="en-US"/>
                                                  </w:rPr>
                                                </w:pPr>
                                                <w:r>
                                                  <w:rPr>
                                                    <w:rStyle w:val="lev"/>
                                                    <w:rFonts w:ascii="Arial" w:hAnsi="Arial" w:cs="Arial"/>
                                                    <w:color w:val="393939"/>
                                                    <w:lang w:eastAsia="en-US"/>
                                                  </w:rPr>
                                                  <w:t>Déploiement du dispositif « Transitions collectives » :</w:t>
                                                </w:r>
                                              </w:p>
                                              <w:p w:rsidR="00847679" w:rsidRDefault="00847679" w:rsidP="00847679">
                                                <w:pPr>
                                                  <w:pStyle w:val="NormalWeb"/>
                                                  <w:spacing w:before="0" w:beforeAutospacing="0" w:after="0" w:afterAutospacing="0" w:line="330" w:lineRule="exact"/>
                                                  <w:rPr>
                                                    <w:lang w:eastAsia="en-US"/>
                                                  </w:rPr>
                                                </w:pPr>
                                                <w:r>
                                                  <w:rPr>
                                                    <w:rStyle w:val="lev"/>
                                                    <w:rFonts w:ascii="Arial" w:hAnsi="Arial" w:cs="Arial"/>
                                                    <w:color w:val="393939"/>
                                                    <w:lang w:eastAsia="en-US"/>
                                                  </w:rPr>
                                                  <w:t>Lancement d’un appel à manifestation d’intérêt pour identifier avant la fin de l’année les premiers territoires pilotes</w:t>
                                                </w:r>
                                              </w:p>
                                            </w:tc>
                                          </w:tr>
                                        </w:tbl>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61"/>
                                    </w:tblGrid>
                                    <w:tr w:rsidR="0084767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1"/>
                                          </w:tblGrid>
                                          <w:tr w:rsidR="00847679">
                                            <w:trPr>
                                              <w:trHeight w:val="300"/>
                                              <w:jc w:val="center"/>
                                            </w:trPr>
                                            <w:tc>
                                              <w:tcPr>
                                                <w:tcW w:w="0" w:type="auto"/>
                                                <w:vAlign w:val="center"/>
                                                <w:hideMark/>
                                              </w:tcPr>
                                              <w:p w:rsidR="00847679" w:rsidRDefault="00847679" w:rsidP="00847679">
                                                <w:pPr>
                                                  <w:spacing w:line="300" w:lineRule="exact"/>
                                                  <w:rPr>
                                                    <w:lang w:eastAsia="en-US"/>
                                                  </w:rPr>
                                                </w:pPr>
                                                <w:r>
                                                  <w:rPr>
                                                    <w:sz w:val="30"/>
                                                    <w:szCs w:val="30"/>
                                                    <w:lang w:eastAsia="en-US"/>
                                                  </w:rPr>
                                                  <w:t xml:space="preserve">  </w:t>
                                                </w:r>
                                              </w:p>
                                            </w:tc>
                                          </w:tr>
                                        </w:tbl>
                                        <w:p w:rsidR="00847679" w:rsidRDefault="00847679" w:rsidP="00847679">
                                          <w:pPr>
                                            <w:jc w:val="center"/>
                                            <w:rPr>
                                              <w:rFonts w:eastAsia="Times New Roman"/>
                                              <w:sz w:val="20"/>
                                              <w:szCs w:val="20"/>
                                            </w:rPr>
                                          </w:pPr>
                                        </w:p>
                                      </w:tc>
                                    </w:tr>
                                  </w:tbl>
                                  <w:p w:rsidR="00847679" w:rsidRDefault="00847679" w:rsidP="00847679">
                                    <w:pPr>
                                      <w:rPr>
                                        <w:rFonts w:eastAsia="Times New Roman"/>
                                        <w:sz w:val="20"/>
                                        <w:szCs w:val="20"/>
                                      </w:rPr>
                                    </w:pPr>
                                  </w:p>
                                </w:tc>
                              </w:tr>
                            </w:tbl>
                            <w:p w:rsidR="00847679" w:rsidRDefault="00847679" w:rsidP="00847679">
                              <w:pPr>
                                <w:jc w:val="center"/>
                                <w:rPr>
                                  <w:rFonts w:eastAsia="Times New Roman"/>
                                  <w:sz w:val="20"/>
                                  <w:szCs w:val="20"/>
                                </w:rPr>
                              </w:pPr>
                            </w:p>
                          </w:tc>
                        </w:tr>
                      </w:tbl>
                      <w:p w:rsidR="00847679" w:rsidRDefault="00847679" w:rsidP="00847679">
                        <w:pPr>
                          <w:jc w:val="center"/>
                          <w:rPr>
                            <w:rFonts w:eastAsia="Times New Roman"/>
                            <w:sz w:val="20"/>
                            <w:szCs w:val="20"/>
                          </w:rPr>
                        </w:pPr>
                      </w:p>
                    </w:tc>
                    <w:tc>
                      <w:tcPr>
                        <w:tcW w:w="150" w:type="dxa"/>
                        <w:shd w:val="clear" w:color="auto" w:fill="FFFFFF"/>
                        <w:vAlign w:val="center"/>
                        <w:hideMark/>
                      </w:tcPr>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r w:rsidR="00847679" w:rsidTr="00847679">
              <w:tc>
                <w:tcPr>
                  <w:tcW w:w="0" w:type="auto"/>
                  <w:vAlign w:val="center"/>
                  <w:hideMark/>
                </w:tcPr>
                <w:tbl>
                  <w:tblPr>
                    <w:tblW w:w="9750" w:type="dxa"/>
                    <w:tblInd w:w="134" w:type="dxa"/>
                    <w:tblCellMar>
                      <w:left w:w="0" w:type="dxa"/>
                      <w:right w:w="0" w:type="dxa"/>
                    </w:tblCellMar>
                    <w:tblLook w:val="04A0" w:firstRow="1" w:lastRow="0" w:firstColumn="1" w:lastColumn="0" w:noHBand="0" w:noVBand="1"/>
                  </w:tblPr>
                  <w:tblGrid>
                    <w:gridCol w:w="9750"/>
                  </w:tblGrid>
                  <w:tr w:rsidR="0084767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847679">
                          <w:tc>
                            <w:tcPr>
                              <w:tcW w:w="0" w:type="auto"/>
                              <w:vAlign w:val="center"/>
                              <w:hideMark/>
                            </w:tcPr>
                            <w:p w:rsidR="00847679" w:rsidRDefault="00847679" w:rsidP="00847679">
                              <w:pPr>
                                <w:spacing w:line="252" w:lineRule="auto"/>
                                <w:jc w:val="both"/>
                                <w:rPr>
                                  <w:lang w:eastAsia="en-US"/>
                                </w:rPr>
                              </w:pPr>
                              <w:r>
                                <w:rPr>
                                  <w:rFonts w:ascii="Arial" w:hAnsi="Arial" w:cs="Arial"/>
                                  <w:b/>
                                  <w:bCs/>
                                  <w:color w:val="000000"/>
                                  <w:sz w:val="21"/>
                                  <w:szCs w:val="21"/>
                                  <w:lang w:eastAsia="en-US"/>
                                </w:rPr>
                                <w:t>Annoncé par Elisabeth Borne, ministre du travail, de l’emploi et de l’insertion, à l’occasion de la deuxième conférence du dialogue social qui a eu lieu à Matignon le 26 octobre 2020, « Transitions collectives » entre dans sa phase opérationnelle. Un appel à manifestation d’intérêt est lancé aujourd’hui pour que ce nouveau parcours de reconversion, conçu avec les partenaires sociaux, initie son déploiement d’ici la fin de l’année.</w:t>
                              </w:r>
                            </w:p>
                            <w:p w:rsidR="00847679" w:rsidRDefault="00847679" w:rsidP="00847679">
                              <w:pPr>
                                <w:spacing w:line="252" w:lineRule="auto"/>
                                <w:jc w:val="both"/>
                                <w:rPr>
                                  <w:lang w:eastAsia="en-US"/>
                                </w:rPr>
                              </w:pPr>
                              <w:r>
                                <w:rPr>
                                  <w:rFonts w:ascii="Arial" w:hAnsi="Arial" w:cs="Arial"/>
                                  <w:b/>
                                  <w:bCs/>
                                  <w:color w:val="000000"/>
                                  <w:sz w:val="21"/>
                                  <w:szCs w:val="21"/>
                                  <w:lang w:eastAsia="en-US"/>
                                </w:rPr>
                                <w:t> </w:t>
                              </w:r>
                            </w:p>
                            <w:p w:rsidR="00847679" w:rsidRDefault="00847679" w:rsidP="00847679">
                              <w:pPr>
                                <w:spacing w:line="252" w:lineRule="auto"/>
                                <w:jc w:val="both"/>
                                <w:rPr>
                                  <w:lang w:eastAsia="en-US"/>
                                </w:rPr>
                              </w:pPr>
                              <w:r>
                                <w:rPr>
                                  <w:rFonts w:ascii="Arial" w:hAnsi="Arial" w:cs="Arial"/>
                                  <w:color w:val="000000"/>
                                  <w:sz w:val="21"/>
                                  <w:szCs w:val="21"/>
                                  <w:lang w:eastAsia="en-US"/>
                                </w:rPr>
                                <w:t xml:space="preserve">Un des enjeux de France Relance concerne </w:t>
                              </w:r>
                              <w:r>
                                <w:rPr>
                                  <w:rFonts w:ascii="Arial" w:hAnsi="Arial" w:cs="Arial"/>
                                  <w:b/>
                                  <w:bCs/>
                                  <w:color w:val="000000"/>
                                  <w:sz w:val="21"/>
                                  <w:szCs w:val="21"/>
                                  <w:lang w:eastAsia="en-US"/>
                                </w:rPr>
                                <w:t>l’accompagnement des entreprises et des actifs confrontés à des fortes mutations économiques</w:t>
                              </w:r>
                              <w:r>
                                <w:rPr>
                                  <w:rFonts w:ascii="Arial" w:hAnsi="Arial" w:cs="Arial"/>
                                  <w:color w:val="000000"/>
                                  <w:sz w:val="21"/>
                                  <w:szCs w:val="21"/>
                                  <w:lang w:eastAsia="en-US"/>
                                </w:rPr>
                                <w:t xml:space="preserve">. </w:t>
                              </w:r>
                            </w:p>
                            <w:p w:rsidR="00847679" w:rsidRDefault="00847679" w:rsidP="00847679">
                              <w:pPr>
                                <w:spacing w:line="252" w:lineRule="auto"/>
                                <w:jc w:val="both"/>
                                <w:rPr>
                                  <w:lang w:eastAsia="en-US"/>
                                </w:rPr>
                              </w:pPr>
                              <w:r>
                                <w:rPr>
                                  <w:rFonts w:ascii="Arial" w:hAnsi="Arial" w:cs="Arial"/>
                                  <w:color w:val="000000"/>
                                  <w:sz w:val="21"/>
                                  <w:szCs w:val="21"/>
                                  <w:lang w:eastAsia="en-US"/>
                                </w:rPr>
                                <w:t> </w:t>
                              </w:r>
                            </w:p>
                            <w:p w:rsidR="00847679" w:rsidRDefault="00847679" w:rsidP="00847679">
                              <w:pPr>
                                <w:spacing w:line="252" w:lineRule="auto"/>
                                <w:jc w:val="both"/>
                                <w:rPr>
                                  <w:lang w:eastAsia="en-US"/>
                                </w:rPr>
                              </w:pPr>
                              <w:r>
                                <w:rPr>
                                  <w:rFonts w:ascii="Arial" w:hAnsi="Arial" w:cs="Arial"/>
                                  <w:color w:val="000000"/>
                                  <w:sz w:val="21"/>
                                  <w:szCs w:val="21"/>
                                  <w:lang w:eastAsia="en-US"/>
                                </w:rPr>
                                <w:t>A l’échelle des territoires, l’ensemble des acteurs (entreprises, partenaires sociaux, collectivités territoriales, institutionnels, services déconcentrés de l’Etat) s’accorde sur la nécessité de maintenir les compétences des actifs et de faciliter leur mobilité afin de mieux sécuriser les transitions professionnelles, sans passer par le statut de demandeurs d’emplois.</w:t>
                              </w:r>
                            </w:p>
                            <w:p w:rsidR="00847679" w:rsidRDefault="00847679" w:rsidP="00847679">
                              <w:pPr>
                                <w:spacing w:line="252" w:lineRule="auto"/>
                                <w:jc w:val="both"/>
                                <w:rPr>
                                  <w:lang w:eastAsia="en-US"/>
                                </w:rPr>
                              </w:pPr>
                              <w:r>
                                <w:rPr>
                                  <w:rFonts w:ascii="Arial" w:hAnsi="Arial" w:cs="Arial"/>
                                  <w:color w:val="000000"/>
                                  <w:sz w:val="21"/>
                                  <w:szCs w:val="21"/>
                                  <w:lang w:eastAsia="en-US"/>
                                </w:rPr>
                                <w:t> </w:t>
                              </w:r>
                            </w:p>
                            <w:p w:rsidR="00847679" w:rsidRDefault="00847679" w:rsidP="00847679">
                              <w:pPr>
                                <w:spacing w:line="252" w:lineRule="auto"/>
                                <w:jc w:val="both"/>
                                <w:rPr>
                                  <w:lang w:eastAsia="en-US"/>
                                </w:rPr>
                              </w:pPr>
                              <w:r>
                                <w:rPr>
                                  <w:rFonts w:ascii="Arial" w:hAnsi="Arial" w:cs="Arial"/>
                                  <w:color w:val="000000"/>
                                  <w:sz w:val="21"/>
                                  <w:szCs w:val="21"/>
                                  <w:lang w:eastAsia="en-US"/>
                                </w:rPr>
                                <w:t>L’impact de la crise n’est pas le même en fonction des secteurs d’activité et des bassins d’emplois :</w:t>
                              </w:r>
                            </w:p>
                            <w:p w:rsidR="00847679" w:rsidRDefault="00847679" w:rsidP="00847679">
                              <w:pPr>
                                <w:spacing w:line="252" w:lineRule="auto"/>
                                <w:jc w:val="both"/>
                                <w:rPr>
                                  <w:lang w:eastAsia="en-US"/>
                                </w:rPr>
                              </w:pPr>
                              <w:r>
                                <w:rPr>
                                  <w:rFonts w:ascii="Arial" w:hAnsi="Arial" w:cs="Arial"/>
                                  <w:color w:val="000000"/>
                                  <w:sz w:val="21"/>
                                  <w:szCs w:val="21"/>
                                  <w:lang w:eastAsia="en-US"/>
                                </w:rPr>
                                <w:t> </w:t>
                              </w:r>
                            </w:p>
                            <w:p w:rsidR="00847679" w:rsidRDefault="00847679" w:rsidP="00847679">
                              <w:pPr>
                                <w:numPr>
                                  <w:ilvl w:val="0"/>
                                  <w:numId w:val="2"/>
                                </w:numPr>
                                <w:spacing w:after="160" w:line="252" w:lineRule="auto"/>
                                <w:jc w:val="both"/>
                                <w:rPr>
                                  <w:rFonts w:eastAsia="Times New Roman"/>
                                  <w:color w:val="000000"/>
                                  <w:lang w:eastAsia="en-US"/>
                                </w:rPr>
                              </w:pPr>
                              <w:r>
                                <w:rPr>
                                  <w:rFonts w:ascii="Arial" w:eastAsia="Times New Roman" w:hAnsi="Arial" w:cs="Arial"/>
                                  <w:color w:val="000000"/>
                                  <w:sz w:val="21"/>
                                  <w:szCs w:val="21"/>
                                  <w:lang w:eastAsia="en-US"/>
                                </w:rPr>
                                <w:lastRenderedPageBreak/>
                                <w:t xml:space="preserve">Dans un même bassin d’emploi, des entreprises ayant des besoins de recrutement côtoient ainsi des entreprises contraintes de mettre en œuvre des plans de sauvegarde de l’emploi ou envisageant de le faire. </w:t>
                              </w:r>
                            </w:p>
                            <w:p w:rsidR="00847679" w:rsidRDefault="00847679" w:rsidP="00847679">
                              <w:pPr>
                                <w:numPr>
                                  <w:ilvl w:val="0"/>
                                  <w:numId w:val="2"/>
                                </w:numPr>
                                <w:spacing w:after="160" w:line="252" w:lineRule="auto"/>
                                <w:jc w:val="both"/>
                                <w:rPr>
                                  <w:rFonts w:eastAsia="Times New Roman"/>
                                  <w:color w:val="000000"/>
                                  <w:lang w:eastAsia="en-US"/>
                                </w:rPr>
                              </w:pPr>
                              <w:r>
                                <w:rPr>
                                  <w:rFonts w:ascii="Arial" w:eastAsia="Times New Roman" w:hAnsi="Arial" w:cs="Arial"/>
                                  <w:color w:val="000000"/>
                                  <w:sz w:val="21"/>
                                  <w:szCs w:val="21"/>
                                  <w:lang w:eastAsia="en-US"/>
                                </w:rPr>
                                <w:t>La question des transitions professionnelles apparaît de plus en plus prégnante.</w:t>
                              </w:r>
                            </w:p>
                            <w:p w:rsidR="00847679" w:rsidRDefault="00847679" w:rsidP="00847679">
                              <w:pPr>
                                <w:spacing w:line="252" w:lineRule="auto"/>
                                <w:jc w:val="both"/>
                                <w:rPr>
                                  <w:lang w:eastAsia="en-US"/>
                                </w:rPr>
                              </w:pPr>
                              <w:r>
                                <w:rPr>
                                  <w:rFonts w:ascii="Arial" w:hAnsi="Arial" w:cs="Arial"/>
                                  <w:color w:val="000000"/>
                                  <w:sz w:val="21"/>
                                  <w:szCs w:val="21"/>
                                  <w:lang w:eastAsia="en-US"/>
                                </w:rPr>
                                <w:t xml:space="preserve">C’est la raison pour laquelle le Gouvernement a engagé des travaux avec les partenaires sociaux afin d’organiser les transitions professionnelles, permettre aux employeurs d’anticiper les mutations économiques de leur secteur et d’accompagner les salariés afin qu’ils puissent se reconvertir de manière apaisée, préparée et sécurisée. </w:t>
                              </w:r>
                            </w:p>
                            <w:p w:rsidR="00847679" w:rsidRDefault="00847679" w:rsidP="00847679">
                              <w:pPr>
                                <w:spacing w:line="252" w:lineRule="auto"/>
                                <w:jc w:val="both"/>
                                <w:rPr>
                                  <w:lang w:eastAsia="en-US"/>
                                </w:rPr>
                              </w:pPr>
                              <w:r>
                                <w:rPr>
                                  <w:rFonts w:ascii="Arial" w:hAnsi="Arial" w:cs="Arial"/>
                                  <w:color w:val="000000"/>
                                  <w:sz w:val="21"/>
                                  <w:szCs w:val="21"/>
                                  <w:lang w:eastAsia="en-US"/>
                                </w:rPr>
                                <w:t> </w:t>
                              </w:r>
                            </w:p>
                            <w:p w:rsidR="00847679" w:rsidRDefault="00847679" w:rsidP="00847679">
                              <w:pPr>
                                <w:spacing w:line="252" w:lineRule="auto"/>
                                <w:jc w:val="both"/>
                                <w:rPr>
                                  <w:lang w:eastAsia="en-US"/>
                                </w:rPr>
                              </w:pPr>
                              <w:r>
                                <w:rPr>
                                  <w:rFonts w:ascii="Arial" w:hAnsi="Arial" w:cs="Arial"/>
                                  <w:b/>
                                  <w:bCs/>
                                  <w:color w:val="000000"/>
                                  <w:sz w:val="21"/>
                                  <w:szCs w:val="21"/>
                                  <w:lang w:eastAsia="en-US"/>
                                </w:rPr>
                                <w:t>C’est la solution « Transitions collectives ».</w:t>
                              </w:r>
                            </w:p>
                            <w:p w:rsidR="00847679" w:rsidRDefault="00847679" w:rsidP="00847679">
                              <w:pPr>
                                <w:spacing w:line="252" w:lineRule="auto"/>
                                <w:jc w:val="both"/>
                                <w:rPr>
                                  <w:lang w:eastAsia="en-US"/>
                                </w:rPr>
                              </w:pPr>
                              <w:r>
                                <w:rPr>
                                  <w:rFonts w:ascii="Arial" w:hAnsi="Arial" w:cs="Arial"/>
                                  <w:b/>
                                  <w:bCs/>
                                  <w:color w:val="000000"/>
                                  <w:sz w:val="21"/>
                                  <w:szCs w:val="21"/>
                                  <w:lang w:eastAsia="en-US"/>
                                </w:rPr>
                                <w:t> </w:t>
                              </w:r>
                            </w:p>
                            <w:p w:rsidR="00847679" w:rsidRDefault="00847679" w:rsidP="00847679">
                              <w:pPr>
                                <w:spacing w:line="252" w:lineRule="auto"/>
                                <w:jc w:val="both"/>
                                <w:rPr>
                                  <w:lang w:eastAsia="en-US"/>
                                </w:rPr>
                              </w:pPr>
                              <w:r>
                                <w:rPr>
                                  <w:rFonts w:ascii="Arial" w:hAnsi="Arial" w:cs="Arial"/>
                                  <w:color w:val="000000"/>
                                  <w:sz w:val="21"/>
                                  <w:szCs w:val="21"/>
                                  <w:lang w:eastAsia="en-US"/>
                                </w:rPr>
                                <w:t xml:space="preserve">« Transitions collectives » est un dispositif qui s’adresse à des salariés dont les emplois sont menacés, et qui se positionnent vers un métier porteur localement, via une formation ou une démarche de validation des acquis de l’expérience. </w:t>
                              </w:r>
                            </w:p>
                            <w:p w:rsidR="00847679" w:rsidRDefault="00847679" w:rsidP="00847679">
                              <w:pPr>
                                <w:spacing w:line="252" w:lineRule="auto"/>
                                <w:jc w:val="both"/>
                                <w:rPr>
                                  <w:lang w:eastAsia="en-US"/>
                                </w:rPr>
                              </w:pPr>
                              <w:r>
                                <w:rPr>
                                  <w:rFonts w:ascii="Arial" w:hAnsi="Arial" w:cs="Arial"/>
                                  <w:color w:val="000000"/>
                                  <w:sz w:val="21"/>
                                  <w:szCs w:val="21"/>
                                  <w:lang w:eastAsia="en-US"/>
                                </w:rPr>
                                <w:t> </w:t>
                              </w:r>
                            </w:p>
                            <w:p w:rsidR="00847679" w:rsidRDefault="00847679" w:rsidP="00847679">
                              <w:pPr>
                                <w:spacing w:line="252" w:lineRule="auto"/>
                                <w:jc w:val="both"/>
                                <w:rPr>
                                  <w:lang w:eastAsia="en-US"/>
                                </w:rPr>
                              </w:pPr>
                              <w:r>
                                <w:rPr>
                                  <w:rFonts w:ascii="Arial" w:hAnsi="Arial" w:cs="Arial"/>
                                  <w:color w:val="000000"/>
                                  <w:sz w:val="21"/>
                                  <w:szCs w:val="21"/>
                                  <w:lang w:eastAsia="en-US"/>
                                </w:rPr>
                                <w:t>L’État finance tout ou partie du projet de reconversion en fonction de la taille de l’entreprise. La rémunération et la formation des salariés est prise en charge à hauteur de 40% pour les entreprises de plus de 1 000 salariés. Elle s’élève à 75% pour les entreprises de 300 salariés jusqu’à 1 000, tandis que pour les petites et moyennes entreprises ou les TPE, l’État prendra en charge 100% de la rémunération et de la formation des salariés.</w:t>
                              </w:r>
                            </w:p>
                            <w:p w:rsidR="00847679" w:rsidRDefault="00847679" w:rsidP="00847679">
                              <w:pPr>
                                <w:spacing w:line="252" w:lineRule="auto"/>
                                <w:jc w:val="both"/>
                                <w:rPr>
                                  <w:lang w:eastAsia="en-US"/>
                                </w:rPr>
                              </w:pPr>
                              <w:r>
                                <w:rPr>
                                  <w:rFonts w:ascii="Arial" w:hAnsi="Arial" w:cs="Arial"/>
                                  <w:color w:val="000000"/>
                                  <w:sz w:val="21"/>
                                  <w:szCs w:val="21"/>
                                  <w:lang w:eastAsia="en-US"/>
                                </w:rPr>
                                <w:t> </w:t>
                              </w:r>
                            </w:p>
                            <w:p w:rsidR="00847679" w:rsidRDefault="00847679" w:rsidP="00847679">
                              <w:pPr>
                                <w:spacing w:line="252" w:lineRule="auto"/>
                                <w:jc w:val="both"/>
                                <w:rPr>
                                  <w:lang w:eastAsia="en-US"/>
                                </w:rPr>
                              </w:pPr>
                              <w:r>
                                <w:rPr>
                                  <w:rFonts w:ascii="Arial" w:hAnsi="Arial" w:cs="Arial"/>
                                  <w:b/>
                                  <w:bCs/>
                                  <w:color w:val="000000"/>
                                  <w:sz w:val="21"/>
                                  <w:szCs w:val="21"/>
                                  <w:lang w:eastAsia="en-US"/>
                                </w:rPr>
                                <w:t>Les parcours de Transitions collectives seront mis en place dès la fin de l’année 2020, à travers des territoires pilotes</w:t>
                              </w:r>
                              <w:r>
                                <w:rPr>
                                  <w:rFonts w:ascii="Arial" w:hAnsi="Arial" w:cs="Arial"/>
                                  <w:color w:val="000000"/>
                                  <w:sz w:val="21"/>
                                  <w:szCs w:val="21"/>
                                  <w:lang w:eastAsia="en-US"/>
                                </w:rPr>
                                <w:t xml:space="preserve"> mobilisant l’ensemble des acteurs emploi-formation, des services de l’Etat, des collectivités territoriales (Régions, Intercommunalités), au plus près des projets de vie des salariés.</w:t>
                              </w:r>
                            </w:p>
                            <w:p w:rsidR="00847679" w:rsidRDefault="00847679" w:rsidP="00847679">
                              <w:pPr>
                                <w:spacing w:line="252" w:lineRule="auto"/>
                                <w:jc w:val="both"/>
                                <w:rPr>
                                  <w:lang w:eastAsia="en-US"/>
                                </w:rPr>
                              </w:pPr>
                              <w:r>
                                <w:rPr>
                                  <w:rFonts w:ascii="Arial" w:hAnsi="Arial" w:cs="Arial"/>
                                  <w:color w:val="000000"/>
                                  <w:sz w:val="21"/>
                                  <w:szCs w:val="21"/>
                                  <w:lang w:eastAsia="en-US"/>
                                </w:rPr>
                                <w:t> </w:t>
                              </w:r>
                            </w:p>
                            <w:p w:rsidR="00847679" w:rsidRDefault="00847679" w:rsidP="00847679">
                              <w:pPr>
                                <w:spacing w:line="252" w:lineRule="auto"/>
                                <w:jc w:val="both"/>
                                <w:rPr>
                                  <w:lang w:eastAsia="en-US"/>
                                </w:rPr>
                              </w:pPr>
                              <w:r>
                                <w:rPr>
                                  <w:rFonts w:ascii="Arial" w:hAnsi="Arial" w:cs="Arial"/>
                                  <w:color w:val="000000"/>
                                  <w:sz w:val="21"/>
                                  <w:szCs w:val="21"/>
                                  <w:lang w:eastAsia="en-US"/>
                                </w:rPr>
                                <w:t>Tel est l’objet de l’appel à manifestation d’intérêt lancé aujourd’hui pour identifier les territoires, et notamment les Territoires d’industrie, d’ores-et-déjà mobilisés pour porter ce nouveau dispositif.</w:t>
                              </w:r>
                            </w:p>
                          </w:tc>
                        </w:tr>
                        <w:tr w:rsidR="00847679">
                          <w:tc>
                            <w:tcPr>
                              <w:tcW w:w="0" w:type="auto"/>
                              <w:vAlign w:val="center"/>
                              <w:hideMark/>
                            </w:tcPr>
                            <w:p w:rsidR="00847679" w:rsidRDefault="00847679" w:rsidP="00847679">
                              <w:pPr>
                                <w:spacing w:line="252" w:lineRule="auto"/>
                                <w:jc w:val="both"/>
                                <w:rPr>
                                  <w:lang w:eastAsia="en-US"/>
                                </w:rPr>
                              </w:pPr>
                              <w:r>
                                <w:rPr>
                                  <w:rFonts w:ascii="Arial" w:hAnsi="Arial" w:cs="Arial"/>
                                  <w:color w:val="000000"/>
                                  <w:sz w:val="21"/>
                                  <w:szCs w:val="21"/>
                                  <w:lang w:eastAsia="en-US"/>
                                </w:rPr>
                                <w:lastRenderedPageBreak/>
                                <w:t> </w:t>
                              </w:r>
                            </w:p>
                          </w:tc>
                        </w:tr>
                      </w:tbl>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bl>
          <w:p w:rsidR="00847679" w:rsidRDefault="00847679" w:rsidP="00847679">
            <w:pPr>
              <w:spacing w:line="252" w:lineRule="auto"/>
              <w:rPr>
                <w:lang w:eastAsia="en-US"/>
              </w:rPr>
            </w:pPr>
            <w:r>
              <w:rPr>
                <w:lang w:eastAsia="en-US"/>
              </w:rPr>
              <w:lastRenderedPageBreak/>
              <w:t> </w:t>
            </w:r>
          </w:p>
          <w:tbl>
            <w:tblPr>
              <w:tblW w:w="5000" w:type="pct"/>
              <w:tblCellMar>
                <w:left w:w="0" w:type="dxa"/>
                <w:right w:w="0" w:type="dxa"/>
              </w:tblCellMar>
              <w:tblLook w:val="04A0" w:firstRow="1" w:lastRow="0" w:firstColumn="1" w:lastColumn="0" w:noHBand="0" w:noVBand="1"/>
            </w:tblPr>
            <w:tblGrid>
              <w:gridCol w:w="9072"/>
            </w:tblGrid>
            <w:tr w:rsidR="00847679" w:rsidTr="00847679">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847679">
                    <w:tc>
                      <w:tcPr>
                        <w:tcW w:w="150" w:type="dxa"/>
                        <w:shd w:val="clear" w:color="auto" w:fill="FFFFFF"/>
                        <w:vAlign w:val="center"/>
                        <w:hideMark/>
                      </w:tcPr>
                      <w:p w:rsidR="00847679" w:rsidRDefault="00847679" w:rsidP="00847679">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84767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847679">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84767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847679">
                                            <w:tc>
                                              <w:tcPr>
                                                <w:tcW w:w="0" w:type="auto"/>
                                                <w:vAlign w:val="center"/>
                                                <w:hideMark/>
                                              </w:tcPr>
                                              <w:p w:rsidR="00847679" w:rsidRDefault="00847679" w:rsidP="00847679">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Contact presse :</w:t>
                                                </w:r>
                                              </w:p>
                                              <w:p w:rsidR="00847679" w:rsidRDefault="00847679" w:rsidP="00847679">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Ministère du Travail, de l'Emploi et de l'Insertion </w:t>
                                                </w:r>
                                              </w:p>
                                              <w:p w:rsidR="00847679" w:rsidRDefault="00847679" w:rsidP="00847679">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Cabinet d’Elisabeth Borne</w:t>
                                                </w:r>
                                              </w:p>
                                              <w:p w:rsidR="00847679" w:rsidRDefault="00847679" w:rsidP="00847679">
                                                <w:pPr>
                                                  <w:pStyle w:val="NormalWeb"/>
                                                  <w:spacing w:before="0" w:beforeAutospacing="0" w:after="0" w:afterAutospacing="0" w:line="330" w:lineRule="exact"/>
                                                  <w:rPr>
                                                    <w:lang w:eastAsia="en-US"/>
                                                  </w:rPr>
                                                </w:pPr>
                                                <w:r>
                                                  <w:rPr>
                                                    <w:rFonts w:ascii="Arial" w:hAnsi="Arial" w:cs="Arial"/>
                                                    <w:color w:val="000000"/>
                                                    <w:sz w:val="18"/>
                                                    <w:szCs w:val="18"/>
                                                    <w:lang w:eastAsia="en-US"/>
                                                  </w:rPr>
                                                  <w:t>Tél : 01 49 55 32 21 </w:t>
                                                </w:r>
                                              </w:p>
                                              <w:p w:rsidR="00847679" w:rsidRDefault="00847679" w:rsidP="00847679">
                                                <w:pPr>
                                                  <w:pStyle w:val="NormalWeb"/>
                                                  <w:spacing w:before="0" w:beforeAutospacing="0" w:after="0" w:afterAutospacing="0" w:line="330" w:lineRule="exact"/>
                                                  <w:rPr>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8" w:history="1">
                                                  <w:r>
                                                    <w:rPr>
                                                      <w:rStyle w:val="Lienhypertexte"/>
                                                      <w:rFonts w:ascii="Arial" w:hAnsi="Arial" w:cs="Arial"/>
                                                      <w:sz w:val="18"/>
                                                      <w:szCs w:val="18"/>
                                                      <w:lang w:eastAsia="en-US"/>
                                                    </w:rPr>
                                                    <w:t>sec.presse.travail@cab.travail.gouv.fr</w:t>
                                                  </w:r>
                                                </w:hyperlink>
                                              </w:p>
                                            </w:tc>
                                          </w:tr>
                                        </w:tbl>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847679">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847679">
                                            <w:trPr>
                                              <w:trHeight w:val="960"/>
                                              <w:jc w:val="center"/>
                                            </w:trPr>
                                            <w:tc>
                                              <w:tcPr>
                                                <w:tcW w:w="0" w:type="auto"/>
                                                <w:vAlign w:val="center"/>
                                                <w:hideMark/>
                                              </w:tcPr>
                                              <w:p w:rsidR="00847679" w:rsidRDefault="00847679" w:rsidP="00847679">
                                                <w:pPr>
                                                  <w:spacing w:line="960" w:lineRule="exact"/>
                                                  <w:rPr>
                                                    <w:lang w:eastAsia="en-US"/>
                                                  </w:rPr>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847679">
                                            <w:tc>
                                              <w:tcPr>
                                                <w:tcW w:w="0" w:type="auto"/>
                                                <w:vAlign w:val="center"/>
                                                <w:hideMark/>
                                              </w:tcPr>
                                              <w:p w:rsidR="00847679" w:rsidRDefault="00847679" w:rsidP="00847679">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127, rue de Grenelle</w:t>
                                                </w:r>
                                              </w:p>
                                              <w:p w:rsidR="00847679" w:rsidRDefault="00847679" w:rsidP="00847679">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75007 PARIS</w:t>
                                                </w:r>
                                              </w:p>
                                            </w:tc>
                                          </w:tr>
                                        </w:tbl>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bl>
                            <w:p w:rsidR="00847679" w:rsidRDefault="00847679" w:rsidP="00847679">
                              <w:pPr>
                                <w:jc w:val="center"/>
                                <w:rPr>
                                  <w:rFonts w:eastAsia="Times New Roman"/>
                                  <w:sz w:val="20"/>
                                  <w:szCs w:val="20"/>
                                </w:rPr>
                              </w:pPr>
                            </w:p>
                          </w:tc>
                        </w:tr>
                      </w:tbl>
                      <w:p w:rsidR="00847679" w:rsidRDefault="00847679" w:rsidP="00847679">
                        <w:pPr>
                          <w:jc w:val="center"/>
                          <w:rPr>
                            <w:rFonts w:eastAsia="Times New Roman"/>
                            <w:sz w:val="20"/>
                            <w:szCs w:val="20"/>
                          </w:rPr>
                        </w:pPr>
                      </w:p>
                    </w:tc>
                    <w:tc>
                      <w:tcPr>
                        <w:tcW w:w="150" w:type="dxa"/>
                        <w:shd w:val="clear" w:color="auto" w:fill="FFFFFF"/>
                        <w:vAlign w:val="center"/>
                        <w:hideMark/>
                      </w:tcPr>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r w:rsidR="00847679" w:rsidTr="00847679">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847679">
                    <w:tc>
                      <w:tcPr>
                        <w:tcW w:w="150" w:type="dxa"/>
                        <w:shd w:val="clear" w:color="auto" w:fill="FFFFFF"/>
                        <w:vAlign w:val="center"/>
                        <w:hideMark/>
                      </w:tcPr>
                      <w:p w:rsidR="00847679" w:rsidRDefault="00847679" w:rsidP="00847679">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847679">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84767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847679">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847679">
                                            <w:tc>
                                              <w:tcPr>
                                                <w:tcW w:w="0" w:type="auto"/>
                                                <w:vAlign w:val="center"/>
                                                <w:hideMark/>
                                              </w:tcPr>
                                              <w:p w:rsidR="00847679" w:rsidRDefault="00847679" w:rsidP="00847679">
                                                <w:pPr>
                                                  <w:pStyle w:val="NormalWeb"/>
                                                  <w:spacing w:before="0" w:beforeAutospacing="0" w:after="0" w:afterAutospacing="0" w:line="225" w:lineRule="exact"/>
                                                  <w:jc w:val="center"/>
                                                  <w:rPr>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9"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847679" w:rsidRDefault="00847679" w:rsidP="00847679">
                                          <w:pPr>
                                            <w:rPr>
                                              <w:rFonts w:eastAsia="Times New Roman"/>
                                              <w:sz w:val="20"/>
                                              <w:szCs w:val="20"/>
                                            </w:rPr>
                                          </w:pPr>
                                        </w:p>
                                      </w:tc>
                                    </w:tr>
                                  </w:tbl>
                                  <w:p w:rsidR="00847679" w:rsidRDefault="00847679" w:rsidP="00847679">
                                    <w:pPr>
                                      <w:rPr>
                                        <w:rFonts w:eastAsia="Times New Roman"/>
                                        <w:sz w:val="20"/>
                                        <w:szCs w:val="20"/>
                                      </w:rPr>
                                    </w:pPr>
                                  </w:p>
                                </w:tc>
                              </w:tr>
                            </w:tbl>
                            <w:p w:rsidR="00847679" w:rsidRDefault="00847679" w:rsidP="00847679">
                              <w:pPr>
                                <w:jc w:val="center"/>
                                <w:rPr>
                                  <w:rFonts w:eastAsia="Times New Roman"/>
                                  <w:sz w:val="20"/>
                                  <w:szCs w:val="20"/>
                                </w:rPr>
                              </w:pPr>
                            </w:p>
                          </w:tc>
                        </w:tr>
                      </w:tbl>
                      <w:p w:rsidR="00847679" w:rsidRDefault="00847679" w:rsidP="00847679">
                        <w:pPr>
                          <w:jc w:val="center"/>
                          <w:rPr>
                            <w:rFonts w:eastAsia="Times New Roman"/>
                            <w:sz w:val="20"/>
                            <w:szCs w:val="20"/>
                          </w:rPr>
                        </w:pPr>
                      </w:p>
                    </w:tc>
                    <w:tc>
                      <w:tcPr>
                        <w:tcW w:w="150" w:type="dxa"/>
                        <w:shd w:val="clear" w:color="auto" w:fill="FFFFFF"/>
                        <w:vAlign w:val="center"/>
                        <w:hideMark/>
                      </w:tcPr>
                      <w:p w:rsidR="00847679" w:rsidRDefault="00847679" w:rsidP="00847679">
                        <w:pPr>
                          <w:rPr>
                            <w:rFonts w:eastAsia="Times New Roman"/>
                            <w:sz w:val="20"/>
                            <w:szCs w:val="20"/>
                          </w:rPr>
                        </w:pPr>
                      </w:p>
                    </w:tc>
                  </w:tr>
                </w:tbl>
                <w:p w:rsidR="00847679" w:rsidRDefault="00847679" w:rsidP="00847679">
                  <w:pPr>
                    <w:spacing w:line="252" w:lineRule="auto"/>
                    <w:rPr>
                      <w:lang w:eastAsia="en-US"/>
                    </w:rPr>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847679">
                    <w:trPr>
                      <w:trHeight w:val="150"/>
                    </w:trPr>
                    <w:tc>
                      <w:tcPr>
                        <w:tcW w:w="9750" w:type="dxa"/>
                        <w:shd w:val="clear" w:color="auto" w:fill="FFFFFF"/>
                        <w:tcMar>
                          <w:top w:w="0" w:type="dxa"/>
                          <w:left w:w="150" w:type="dxa"/>
                          <w:bottom w:w="0" w:type="dxa"/>
                          <w:right w:w="150" w:type="dxa"/>
                        </w:tcMar>
                        <w:vAlign w:val="center"/>
                        <w:hideMark/>
                      </w:tcPr>
                      <w:p w:rsidR="00847679" w:rsidRDefault="00847679" w:rsidP="00847679">
                        <w:pPr>
                          <w:spacing w:line="150" w:lineRule="exact"/>
                          <w:rPr>
                            <w:lang w:eastAsia="en-US"/>
                          </w:rPr>
                        </w:pPr>
                        <w:r>
                          <w:rPr>
                            <w:sz w:val="15"/>
                            <w:szCs w:val="15"/>
                            <w:lang w:eastAsia="en-US"/>
                          </w:rPr>
                          <w:t xml:space="preserve">  </w:t>
                        </w:r>
                      </w:p>
                    </w:tc>
                  </w:tr>
                </w:tbl>
                <w:p w:rsidR="00847679" w:rsidRDefault="00847679" w:rsidP="00847679">
                  <w:pPr>
                    <w:rPr>
                      <w:rFonts w:eastAsia="Times New Roman"/>
                      <w:sz w:val="20"/>
                      <w:szCs w:val="20"/>
                    </w:rPr>
                  </w:pPr>
                </w:p>
              </w:tc>
            </w:tr>
          </w:tbl>
          <w:p w:rsidR="007C210B" w:rsidRDefault="007C210B">
            <w:pPr>
              <w:rPr>
                <w:rFonts w:eastAsia="Times New Roman"/>
                <w:sz w:val="20"/>
                <w:szCs w:val="20"/>
              </w:rPr>
            </w:pPr>
          </w:p>
        </w:tc>
      </w:tr>
    </w:tbl>
    <w:p w:rsidR="0038618C" w:rsidRDefault="00DE072B"/>
    <w:sectPr w:rsidR="0038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355B0"/>
    <w:multiLevelType w:val="hybridMultilevel"/>
    <w:tmpl w:val="034A6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0B"/>
    <w:rsid w:val="00296398"/>
    <w:rsid w:val="002A1C7F"/>
    <w:rsid w:val="00430CF5"/>
    <w:rsid w:val="006F2270"/>
    <w:rsid w:val="007C210B"/>
    <w:rsid w:val="00847679"/>
    <w:rsid w:val="00863FA7"/>
    <w:rsid w:val="00990BDD"/>
    <w:rsid w:val="009B44C2"/>
    <w:rsid w:val="009B7738"/>
    <w:rsid w:val="00DE072B"/>
    <w:rsid w:val="00FB7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F7AF2-5510-48EA-B284-4AAE6FF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10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210B"/>
    <w:rPr>
      <w:color w:val="0000FF"/>
      <w:u w:val="single"/>
    </w:rPr>
  </w:style>
  <w:style w:type="paragraph" w:styleId="NormalWeb">
    <w:name w:val="Normal (Web)"/>
    <w:basedOn w:val="Normal"/>
    <w:uiPriority w:val="99"/>
    <w:unhideWhenUsed/>
    <w:rsid w:val="007C210B"/>
    <w:pPr>
      <w:spacing w:before="100" w:beforeAutospacing="1" w:after="100" w:afterAutospacing="1"/>
    </w:pPr>
  </w:style>
  <w:style w:type="character" w:styleId="lev">
    <w:name w:val="Strong"/>
    <w:basedOn w:val="Policepardfaut"/>
    <w:uiPriority w:val="22"/>
    <w:qFormat/>
    <w:rsid w:val="007C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3934">
      <w:bodyDiv w:val="1"/>
      <w:marLeft w:val="0"/>
      <w:marRight w:val="0"/>
      <w:marTop w:val="0"/>
      <w:marBottom w:val="0"/>
      <w:divBdr>
        <w:top w:val="none" w:sz="0" w:space="0" w:color="auto"/>
        <w:left w:val="none" w:sz="0" w:space="0" w:color="auto"/>
        <w:bottom w:val="none" w:sz="0" w:space="0" w:color="auto"/>
        <w:right w:val="none" w:sz="0" w:space="0" w:color="auto"/>
      </w:divBdr>
    </w:div>
    <w:div w:id="710424189">
      <w:bodyDiv w:val="1"/>
      <w:marLeft w:val="0"/>
      <w:marRight w:val="0"/>
      <w:marTop w:val="0"/>
      <w:marBottom w:val="0"/>
      <w:divBdr>
        <w:top w:val="none" w:sz="0" w:space="0" w:color="auto"/>
        <w:left w:val="none" w:sz="0" w:space="0" w:color="auto"/>
        <w:bottom w:val="none" w:sz="0" w:space="0" w:color="auto"/>
        <w:right w:val="none" w:sz="0" w:space="0" w:color="auto"/>
      </w:divBdr>
    </w:div>
    <w:div w:id="17890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C588.64DF05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GENAY, Margot (CAB/TRAVAIL)</dc:creator>
  <cp:keywords/>
  <dc:description/>
  <cp:lastModifiedBy>PINATEL-IGOA, Florence (DICOM/BUREAU DE LA COMMUNICATION DIGITALE)</cp:lastModifiedBy>
  <cp:revision>2</cp:revision>
  <cp:lastPrinted>2020-11-28T12:00:00Z</cp:lastPrinted>
  <dcterms:created xsi:type="dcterms:W3CDTF">2020-11-30T13:49:00Z</dcterms:created>
  <dcterms:modified xsi:type="dcterms:W3CDTF">2020-11-30T13:49:00Z</dcterms:modified>
</cp:coreProperties>
</file>