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933564" w:rsidTr="00933564">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933564">
              <w:tc>
                <w:tcPr>
                  <w:tcW w:w="150" w:type="dxa"/>
                  <w:vAlign w:val="center"/>
                  <w:hideMark/>
                </w:tcPr>
                <w:p w:rsidR="00933564" w:rsidRDefault="00933564"/>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3356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3356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933564">
                                <w:tc>
                                  <w:tcPr>
                                    <w:tcW w:w="0" w:type="auto"/>
                                    <w:tcMar>
                                      <w:top w:w="300" w:type="dxa"/>
                                      <w:left w:w="300" w:type="dxa"/>
                                      <w:bottom w:w="75" w:type="dxa"/>
                                      <w:right w:w="300" w:type="dxa"/>
                                    </w:tcMar>
                                    <w:vAlign w:val="center"/>
                                    <w:hideMark/>
                                  </w:tcPr>
                                  <w:p w:rsidR="00933564" w:rsidRDefault="00933564">
                                    <w:pPr>
                                      <w:rPr>
                                        <w:rFonts w:ascii="Times New Roman" w:eastAsia="Times New Roman" w:hAnsi="Times New Roman" w:cs="Times New Roman"/>
                                        <w:sz w:val="20"/>
                                        <w:szCs w:val="20"/>
                                        <w:lang w:eastAsia="fr-FR"/>
                                      </w:rPr>
                                    </w:pPr>
                                  </w:p>
                                </w:tc>
                              </w:tr>
                            </w:tbl>
                            <w:p w:rsidR="00933564" w:rsidRDefault="00933564">
                              <w:pPr>
                                <w:rPr>
                                  <w:rFonts w:ascii="Times New Roman" w:eastAsia="Times New Roman" w:hAnsi="Times New Roman" w:cs="Times New Roman"/>
                                  <w:sz w:val="20"/>
                                  <w:szCs w:val="20"/>
                                  <w:lang w:eastAsia="fr-FR"/>
                                </w:rPr>
                              </w:pPr>
                            </w:p>
                          </w:tc>
                        </w:tr>
                      </w:tbl>
                      <w:p w:rsidR="00933564" w:rsidRDefault="00933564">
                        <w:pPr>
                          <w:jc w:val="center"/>
                          <w:rPr>
                            <w:rFonts w:ascii="Times New Roman" w:eastAsia="Times New Roman" w:hAnsi="Times New Roman" w:cs="Times New Roman"/>
                            <w:sz w:val="20"/>
                            <w:szCs w:val="20"/>
                            <w:lang w:eastAsia="fr-FR"/>
                          </w:rPr>
                        </w:pPr>
                      </w:p>
                    </w:tc>
                  </w:tr>
                </w:tbl>
                <w:p w:rsidR="00933564" w:rsidRDefault="00933564">
                  <w:pPr>
                    <w:jc w:val="center"/>
                    <w:rPr>
                      <w:rFonts w:ascii="Times New Roman" w:eastAsia="Times New Roman" w:hAnsi="Times New Roman" w:cs="Times New Roman"/>
                      <w:sz w:val="20"/>
                      <w:szCs w:val="20"/>
                      <w:lang w:eastAsia="fr-FR"/>
                    </w:rPr>
                  </w:pPr>
                </w:p>
              </w:tc>
              <w:tc>
                <w:tcPr>
                  <w:tcW w:w="150" w:type="dxa"/>
                  <w:vAlign w:val="center"/>
                  <w:hideMark/>
                </w:tcPr>
                <w:p w:rsidR="00933564" w:rsidRDefault="00933564">
                  <w:pPr>
                    <w:rPr>
                      <w:rFonts w:ascii="Times New Roman" w:eastAsia="Times New Roman" w:hAnsi="Times New Roman" w:cs="Times New Roman"/>
                      <w:sz w:val="20"/>
                      <w:szCs w:val="20"/>
                      <w:lang w:eastAsia="fr-FR"/>
                    </w:rPr>
                  </w:pPr>
                </w:p>
              </w:tc>
            </w:tr>
          </w:tbl>
          <w:p w:rsidR="00933564" w:rsidRDefault="00933564">
            <w:pPr>
              <w:rPr>
                <w:rFonts w:ascii="Times New Roman" w:eastAsia="Times New Roman" w:hAnsi="Times New Roman" w:cs="Times New Roman"/>
                <w:sz w:val="20"/>
                <w:szCs w:val="20"/>
                <w:lang w:eastAsia="fr-FR"/>
              </w:rPr>
            </w:pPr>
          </w:p>
        </w:tc>
      </w:tr>
      <w:tr w:rsidR="00933564" w:rsidTr="00933564">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933564">
              <w:trPr>
                <w:trHeight w:val="150"/>
              </w:trPr>
              <w:tc>
                <w:tcPr>
                  <w:tcW w:w="9750" w:type="dxa"/>
                  <w:shd w:val="clear" w:color="auto" w:fill="FFFFFF"/>
                  <w:tcMar>
                    <w:top w:w="0" w:type="dxa"/>
                    <w:left w:w="150" w:type="dxa"/>
                    <w:bottom w:w="0" w:type="dxa"/>
                    <w:right w:w="150" w:type="dxa"/>
                  </w:tcMar>
                  <w:vAlign w:val="center"/>
                  <w:hideMark/>
                </w:tcPr>
                <w:p w:rsidR="00933564" w:rsidRDefault="00933564">
                  <w:pPr>
                    <w:spacing w:line="150" w:lineRule="exact"/>
                    <w:rPr>
                      <w:sz w:val="15"/>
                      <w:szCs w:val="15"/>
                    </w:rPr>
                  </w:pPr>
                  <w:r>
                    <w:rPr>
                      <w:sz w:val="15"/>
                      <w:szCs w:val="15"/>
                    </w:rPr>
                    <w:t xml:space="preserve">  </w:t>
                  </w:r>
                </w:p>
              </w:tc>
            </w:tr>
          </w:tbl>
          <w:p w:rsidR="00933564" w:rsidRDefault="00933564">
            <w:pPr>
              <w:rPr>
                <w:vanish/>
                <w:sz w:val="24"/>
                <w:szCs w:val="24"/>
              </w:rPr>
            </w:pPr>
          </w:p>
          <w:tbl>
            <w:tblPr>
              <w:tblW w:w="0" w:type="auto"/>
              <w:tblCellMar>
                <w:left w:w="0" w:type="dxa"/>
                <w:right w:w="0" w:type="dxa"/>
              </w:tblCellMar>
              <w:tblLook w:val="04A0" w:firstRow="1" w:lastRow="0" w:firstColumn="1" w:lastColumn="0" w:noHBand="0" w:noVBand="1"/>
            </w:tblPr>
            <w:tblGrid>
              <w:gridCol w:w="131"/>
              <w:gridCol w:w="8810"/>
              <w:gridCol w:w="131"/>
            </w:tblGrid>
            <w:tr w:rsidR="00933564">
              <w:trPr>
                <w:hidden/>
              </w:trPr>
              <w:tc>
                <w:tcPr>
                  <w:tcW w:w="150" w:type="dxa"/>
                  <w:shd w:val="clear" w:color="auto" w:fill="FFFFFF"/>
                  <w:vAlign w:val="center"/>
                  <w:hideMark/>
                </w:tcPr>
                <w:p w:rsidR="00933564" w:rsidRDefault="00933564">
                  <w:pPr>
                    <w:rPr>
                      <w:vanish/>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93356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93356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933564">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933564">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933564">
                                            <w:tc>
                                              <w:tcPr>
                                                <w:tcW w:w="0" w:type="auto"/>
                                                <w:vAlign w:val="center"/>
                                                <w:hideMark/>
                                              </w:tcPr>
                                              <w:p w:rsidR="00933564" w:rsidRDefault="00933564">
                                                <w:pPr>
                                                  <w:spacing w:line="0" w:lineRule="atLeast"/>
                                                  <w:rPr>
                                                    <w:sz w:val="2"/>
                                                    <w:szCs w:val="2"/>
                                                  </w:rPr>
                                                </w:pPr>
                                                <w:r>
                                                  <w:rPr>
                                                    <w:noProof/>
                                                    <w:sz w:val="2"/>
                                                    <w:szCs w:val="2"/>
                                                    <w:lang w:eastAsia="fr-FR"/>
                                                  </w:rPr>
                                                  <w:drawing>
                                                    <wp:inline distT="0" distB="0" distL="0" distR="0">
                                                      <wp:extent cx="1714500" cy="1428750"/>
                                                      <wp:effectExtent l="0" t="0" r="0" b="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933564" w:rsidRDefault="00933564">
                                          <w:pPr>
                                            <w:rPr>
                                              <w:rFonts w:ascii="Times New Roman" w:eastAsia="Times New Roman" w:hAnsi="Times New Roman" w:cs="Times New Roman"/>
                                              <w:sz w:val="20"/>
                                              <w:szCs w:val="20"/>
                                              <w:lang w:eastAsia="fr-FR"/>
                                            </w:rPr>
                                          </w:pPr>
                                        </w:p>
                                      </w:tc>
                                    </w:tr>
                                  </w:tbl>
                                  <w:p w:rsidR="00933564" w:rsidRDefault="00933564">
                                    <w:pPr>
                                      <w:jc w:val="center"/>
                                      <w:rPr>
                                        <w:vanish/>
                                        <w:sz w:val="24"/>
                                        <w:szCs w:val="24"/>
                                      </w:rPr>
                                    </w:pPr>
                                  </w:p>
                                  <w:tbl>
                                    <w:tblPr>
                                      <w:tblW w:w="0" w:type="auto"/>
                                      <w:jc w:val="center"/>
                                      <w:tblCellMar>
                                        <w:left w:w="0" w:type="dxa"/>
                                        <w:right w:w="0" w:type="dxa"/>
                                      </w:tblCellMar>
                                      <w:tblLook w:val="04A0" w:firstRow="1" w:lastRow="0" w:firstColumn="1" w:lastColumn="0" w:noHBand="0" w:noVBand="1"/>
                                    </w:tblPr>
                                    <w:tblGrid>
                                      <w:gridCol w:w="68"/>
                                    </w:tblGrid>
                                    <w:tr w:rsidR="00933564">
                                      <w:trPr>
                                        <w:trHeight w:val="300"/>
                                        <w:jc w:val="center"/>
                                      </w:trPr>
                                      <w:tc>
                                        <w:tcPr>
                                          <w:tcW w:w="0" w:type="auto"/>
                                          <w:vAlign w:val="center"/>
                                          <w:hideMark/>
                                        </w:tcPr>
                                        <w:p w:rsidR="00933564" w:rsidRDefault="00933564">
                                          <w:pPr>
                                            <w:spacing w:line="300" w:lineRule="exact"/>
                                            <w:rPr>
                                              <w:sz w:val="30"/>
                                              <w:szCs w:val="30"/>
                                            </w:rPr>
                                          </w:pPr>
                                          <w:r>
                                            <w:rPr>
                                              <w:sz w:val="30"/>
                                              <w:szCs w:val="30"/>
                                            </w:rPr>
                                            <w:t xml:space="preserve">  </w:t>
                                          </w:r>
                                        </w:p>
                                      </w:tc>
                                    </w:tr>
                                  </w:tbl>
                                  <w:p w:rsidR="00933564" w:rsidRDefault="00933564">
                                    <w:pPr>
                                      <w:jc w:val="center"/>
                                      <w:rPr>
                                        <w:sz w:val="20"/>
                                        <w:szCs w:val="20"/>
                                      </w:rPr>
                                    </w:pPr>
                                  </w:p>
                                </w:tc>
                              </w:tr>
                            </w:tbl>
                            <w:p w:rsidR="00933564" w:rsidRDefault="00933564">
                              <w:pPr>
                                <w:rPr>
                                  <w:rFonts w:ascii="Times New Roman" w:eastAsia="Times New Roman" w:hAnsi="Times New Roman" w:cs="Times New Roman"/>
                                  <w:sz w:val="20"/>
                                  <w:szCs w:val="20"/>
                                  <w:lang w:eastAsia="fr-FR"/>
                                </w:rPr>
                              </w:pPr>
                            </w:p>
                          </w:tc>
                        </w:tr>
                      </w:tbl>
                      <w:p w:rsidR="00933564" w:rsidRDefault="00933564">
                        <w:pPr>
                          <w:jc w:val="center"/>
                          <w:rPr>
                            <w:rFonts w:ascii="Times New Roman" w:eastAsia="Times New Roman" w:hAnsi="Times New Roman" w:cs="Times New Roman"/>
                            <w:sz w:val="20"/>
                            <w:szCs w:val="20"/>
                            <w:lang w:eastAsia="fr-FR"/>
                          </w:rPr>
                        </w:pPr>
                      </w:p>
                    </w:tc>
                  </w:tr>
                </w:tbl>
                <w:p w:rsidR="00933564" w:rsidRDefault="00933564">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933564" w:rsidRDefault="00933564">
                  <w:pPr>
                    <w:rPr>
                      <w:rFonts w:ascii="Times New Roman" w:eastAsia="Times New Roman" w:hAnsi="Times New Roman" w:cs="Times New Roman"/>
                      <w:sz w:val="20"/>
                      <w:szCs w:val="20"/>
                      <w:lang w:eastAsia="fr-FR"/>
                    </w:rPr>
                  </w:pPr>
                </w:p>
              </w:tc>
            </w:tr>
          </w:tbl>
          <w:p w:rsidR="00933564" w:rsidRDefault="00933564">
            <w:pPr>
              <w:rPr>
                <w:sz w:val="20"/>
                <w:szCs w:val="20"/>
              </w:rPr>
            </w:pPr>
          </w:p>
        </w:tc>
      </w:tr>
    </w:tbl>
    <w:p w:rsidR="00933564" w:rsidRDefault="00933564" w:rsidP="00933564">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933564" w:rsidTr="00933564">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933564">
              <w:tc>
                <w:tcPr>
                  <w:tcW w:w="150" w:type="dxa"/>
                  <w:shd w:val="clear" w:color="auto" w:fill="FFFFFF"/>
                  <w:vAlign w:val="center"/>
                  <w:hideMark/>
                </w:tcPr>
                <w:p w:rsidR="00933564" w:rsidRDefault="00933564">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93356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93356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93356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933564">
                                      <w:tc>
                                        <w:tcPr>
                                          <w:tcW w:w="0" w:type="auto"/>
                                          <w:vAlign w:val="center"/>
                                          <w:hideMark/>
                                        </w:tcPr>
                                        <w:p w:rsidR="00933564" w:rsidRDefault="0093356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B3838"/>
                                            </w:rPr>
                                            <w:t>COMMUNIQUE DE PRESSE</w:t>
                                          </w:r>
                                        </w:p>
                                      </w:tc>
                                    </w:tr>
                                  </w:tbl>
                                  <w:tbl>
                                    <w:tblPr>
                                      <w:tblW w:w="0" w:type="auto"/>
                                      <w:jc w:val="center"/>
                                      <w:tblCellMar>
                                        <w:left w:w="0" w:type="dxa"/>
                                        <w:right w:w="0" w:type="dxa"/>
                                      </w:tblCellMar>
                                      <w:tblLook w:val="04A0" w:firstRow="1" w:lastRow="0" w:firstColumn="1" w:lastColumn="0" w:noHBand="0" w:noVBand="1"/>
                                    </w:tblPr>
                                    <w:tblGrid>
                                      <w:gridCol w:w="68"/>
                                    </w:tblGrid>
                                    <w:tr w:rsidR="00933564">
                                      <w:trPr>
                                        <w:trHeight w:val="300"/>
                                        <w:jc w:val="center"/>
                                      </w:trPr>
                                      <w:tc>
                                        <w:tcPr>
                                          <w:tcW w:w="0" w:type="auto"/>
                                          <w:vAlign w:val="center"/>
                                          <w:hideMark/>
                                        </w:tcPr>
                                        <w:p w:rsidR="00933564" w:rsidRDefault="00933564">
                                          <w:pPr>
                                            <w:spacing w:line="300" w:lineRule="exact"/>
                                            <w:rPr>
                                              <w:rFonts w:ascii="Times New Roman" w:hAnsi="Times New Roman" w:cs="Times New Roman"/>
                                              <w:sz w:val="30"/>
                                              <w:szCs w:val="30"/>
                                            </w:rPr>
                                          </w:pPr>
                                          <w:r>
                                            <w:rPr>
                                              <w:sz w:val="30"/>
                                              <w:szCs w:val="30"/>
                                            </w:rPr>
                                            <w:t xml:space="preserve">  </w:t>
                                          </w:r>
                                        </w:p>
                                      </w:tc>
                                    </w:tr>
                                  </w:tbl>
                                  <w:p w:rsidR="00933564" w:rsidRDefault="00933564">
                                    <w:pPr>
                                      <w:jc w:val="center"/>
                                      <w:rPr>
                                        <w:rFonts w:ascii="Times New Roman" w:eastAsia="Times New Roman" w:hAnsi="Times New Roman" w:cs="Times New Roman"/>
                                        <w:sz w:val="20"/>
                                        <w:szCs w:val="20"/>
                                        <w:lang w:eastAsia="fr-FR"/>
                                      </w:rPr>
                                    </w:pPr>
                                  </w:p>
                                </w:tc>
                              </w:tr>
                            </w:tbl>
                            <w:p w:rsidR="00933564" w:rsidRDefault="00933564">
                              <w:pPr>
                                <w:rPr>
                                  <w:rFonts w:ascii="Times New Roman" w:eastAsia="Times New Roman" w:hAnsi="Times New Roman" w:cs="Times New Roman"/>
                                  <w:sz w:val="20"/>
                                  <w:szCs w:val="20"/>
                                  <w:lang w:eastAsia="fr-FR"/>
                                </w:rPr>
                              </w:pPr>
                            </w:p>
                          </w:tc>
                        </w:tr>
                      </w:tbl>
                      <w:p w:rsidR="00933564" w:rsidRDefault="00933564">
                        <w:pPr>
                          <w:jc w:val="center"/>
                          <w:rPr>
                            <w:rFonts w:ascii="Times New Roman" w:eastAsia="Times New Roman" w:hAnsi="Times New Roman" w:cs="Times New Roman"/>
                            <w:sz w:val="20"/>
                            <w:szCs w:val="20"/>
                            <w:lang w:eastAsia="fr-FR"/>
                          </w:rPr>
                        </w:pPr>
                      </w:p>
                    </w:tc>
                  </w:tr>
                </w:tbl>
                <w:p w:rsidR="00933564" w:rsidRDefault="00933564">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933564" w:rsidRDefault="00933564">
                  <w:pPr>
                    <w:rPr>
                      <w:rFonts w:ascii="Times New Roman" w:eastAsia="Times New Roman" w:hAnsi="Times New Roman" w:cs="Times New Roman"/>
                      <w:sz w:val="20"/>
                      <w:szCs w:val="20"/>
                      <w:lang w:eastAsia="fr-FR"/>
                    </w:rPr>
                  </w:pPr>
                </w:p>
              </w:tc>
            </w:tr>
          </w:tbl>
          <w:p w:rsidR="00933564" w:rsidRDefault="00933564">
            <w:pPr>
              <w:rPr>
                <w:rFonts w:ascii="Times New Roman" w:eastAsia="Times New Roman" w:hAnsi="Times New Roman" w:cs="Times New Roman"/>
                <w:sz w:val="20"/>
                <w:szCs w:val="20"/>
                <w:lang w:eastAsia="fr-FR"/>
              </w:rPr>
            </w:pPr>
          </w:p>
        </w:tc>
      </w:tr>
      <w:tr w:rsidR="00933564" w:rsidTr="00933564">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933564">
              <w:tc>
                <w:tcPr>
                  <w:tcW w:w="150" w:type="dxa"/>
                  <w:shd w:val="clear" w:color="auto" w:fill="FFFFFF"/>
                  <w:vAlign w:val="center"/>
                  <w:hideMark/>
                </w:tcPr>
                <w:p w:rsidR="00933564" w:rsidRDefault="00933564">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93356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93356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3"/>
                              </w:tblGrid>
                              <w:tr w:rsidR="0093356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933564">
                                      <w:tc>
                                        <w:tcPr>
                                          <w:tcW w:w="0" w:type="auto"/>
                                          <w:vAlign w:val="center"/>
                                          <w:hideMark/>
                                        </w:tcPr>
                                        <w:p w:rsidR="00933564" w:rsidRDefault="00933564">
                                          <w:pPr>
                                            <w:pStyle w:val="NormalWeb"/>
                                            <w:spacing w:before="0" w:beforeAutospacing="0" w:after="0" w:afterAutospacing="0" w:line="390" w:lineRule="exact"/>
                                            <w:jc w:val="right"/>
                                            <w:rPr>
                                              <w:rFonts w:ascii="Arial" w:hAnsi="Arial" w:cs="Arial"/>
                                              <w:color w:val="3B3838"/>
                                              <w:sz w:val="26"/>
                                              <w:szCs w:val="26"/>
                                            </w:rPr>
                                          </w:pPr>
                                          <w:r>
                                            <w:rPr>
                                              <w:rFonts w:ascii="Arial" w:hAnsi="Arial" w:cs="Arial"/>
                                              <w:color w:val="3B3838"/>
                                              <w:sz w:val="18"/>
                                              <w:szCs w:val="18"/>
                                            </w:rPr>
                                            <w:t>Paris, le 17 mars 2022</w:t>
                                          </w:r>
                                        </w:p>
                                      </w:tc>
                                    </w:tr>
                                  </w:tbl>
                                  <w:p w:rsidR="00933564" w:rsidRDefault="00933564">
                                    <w:pPr>
                                      <w:rPr>
                                        <w:rFonts w:ascii="Times New Roman" w:eastAsia="Times New Roman" w:hAnsi="Times New Roman" w:cs="Times New Roman"/>
                                        <w:sz w:val="20"/>
                                        <w:szCs w:val="20"/>
                                        <w:lang w:eastAsia="fr-FR"/>
                                      </w:rPr>
                                    </w:pPr>
                                  </w:p>
                                </w:tc>
                              </w:tr>
                            </w:tbl>
                            <w:p w:rsidR="00933564" w:rsidRDefault="00933564">
                              <w:pPr>
                                <w:rPr>
                                  <w:rFonts w:ascii="Times New Roman" w:eastAsia="Times New Roman" w:hAnsi="Times New Roman" w:cs="Times New Roman"/>
                                  <w:sz w:val="20"/>
                                  <w:szCs w:val="20"/>
                                  <w:lang w:eastAsia="fr-FR"/>
                                </w:rPr>
                              </w:pPr>
                            </w:p>
                          </w:tc>
                        </w:tr>
                      </w:tbl>
                      <w:p w:rsidR="00933564" w:rsidRDefault="00933564">
                        <w:pPr>
                          <w:jc w:val="center"/>
                          <w:rPr>
                            <w:rFonts w:ascii="Times New Roman" w:eastAsia="Times New Roman" w:hAnsi="Times New Roman" w:cs="Times New Roman"/>
                            <w:sz w:val="20"/>
                            <w:szCs w:val="20"/>
                            <w:lang w:eastAsia="fr-FR"/>
                          </w:rPr>
                        </w:pPr>
                      </w:p>
                    </w:tc>
                  </w:tr>
                </w:tbl>
                <w:p w:rsidR="00933564" w:rsidRDefault="00933564">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933564" w:rsidRDefault="00933564">
                  <w:pPr>
                    <w:rPr>
                      <w:rFonts w:ascii="Times New Roman" w:eastAsia="Times New Roman" w:hAnsi="Times New Roman" w:cs="Times New Roman"/>
                      <w:sz w:val="20"/>
                      <w:szCs w:val="20"/>
                      <w:lang w:eastAsia="fr-FR"/>
                    </w:rPr>
                  </w:pPr>
                </w:p>
              </w:tc>
            </w:tr>
          </w:tbl>
          <w:p w:rsidR="00933564" w:rsidRDefault="00933564">
            <w:pPr>
              <w:rPr>
                <w:rFonts w:ascii="Times New Roman" w:eastAsia="Times New Roman" w:hAnsi="Times New Roman" w:cs="Times New Roman"/>
                <w:sz w:val="20"/>
                <w:szCs w:val="20"/>
                <w:lang w:eastAsia="fr-FR"/>
              </w:rPr>
            </w:pPr>
          </w:p>
        </w:tc>
      </w:tr>
    </w:tbl>
    <w:p w:rsidR="00933564" w:rsidRDefault="00933564" w:rsidP="00933564">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933564" w:rsidTr="00933564">
        <w:tc>
          <w:tcPr>
            <w:tcW w:w="0" w:type="auto"/>
            <w:vAlign w:val="center"/>
            <w:hideMark/>
          </w:tcPr>
          <w:p w:rsidR="00933564" w:rsidRDefault="00933564">
            <w:pPr>
              <w:rPr>
                <w:sz w:val="24"/>
                <w:szCs w:val="24"/>
              </w:rPr>
            </w:pPr>
          </w:p>
        </w:tc>
      </w:tr>
      <w:tr w:rsidR="00933564" w:rsidTr="00933564">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933564">
              <w:tc>
                <w:tcPr>
                  <w:tcW w:w="150" w:type="dxa"/>
                  <w:shd w:val="clear" w:color="auto" w:fill="FFFFFF"/>
                  <w:vAlign w:val="center"/>
                  <w:hideMark/>
                </w:tcPr>
                <w:p w:rsidR="00933564" w:rsidRDefault="00933564">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2"/>
                  </w:tblGrid>
                  <w:tr w:rsidR="0093356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2"/>
                        </w:tblGrid>
                        <w:tr w:rsidR="0093356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2"/>
                              </w:tblGrid>
                              <w:tr w:rsidR="00933564">
                                <w:tc>
                                  <w:tcPr>
                                    <w:tcW w:w="0" w:type="auto"/>
                                    <w:tcMar>
                                      <w:top w:w="300" w:type="dxa"/>
                                      <w:left w:w="300" w:type="dxa"/>
                                      <w:bottom w:w="300" w:type="dxa"/>
                                      <w:right w:w="300" w:type="dxa"/>
                                    </w:tcMar>
                                    <w:vAlign w:val="center"/>
                                  </w:tcPr>
                                  <w:p w:rsidR="00933564" w:rsidRDefault="00933564">
                                    <w:pPr>
                                      <w:spacing w:after="160" w:line="252" w:lineRule="auto"/>
                                      <w:jc w:val="both"/>
                                      <w:rPr>
                                        <w:rStyle w:val="lev"/>
                                        <w:rFonts w:ascii="Arial" w:hAnsi="Arial" w:cs="Arial"/>
                                        <w:color w:val="3B3838"/>
                                        <w:sz w:val="24"/>
                                        <w:szCs w:val="24"/>
                                      </w:rPr>
                                    </w:pPr>
                                    <w:bookmarkStart w:id="0" w:name="_GoBack"/>
                                    <w:r>
                                      <w:rPr>
                                        <w:rStyle w:val="lev"/>
                                        <w:rFonts w:ascii="Arial" w:hAnsi="Arial" w:cs="Arial"/>
                                        <w:color w:val="3B3838"/>
                                        <w:sz w:val="24"/>
                                        <w:szCs w:val="24"/>
                                      </w:rPr>
                                      <w:t xml:space="preserve">Annonce des résultats de l’appel à manifestation d’intérêt </w:t>
                                    </w:r>
                                    <w:r>
                                      <w:rPr>
                                        <w:rFonts w:ascii="Arial" w:hAnsi="Arial" w:cs="Arial"/>
                                        <w:b/>
                                        <w:bCs/>
                                        <w:color w:val="3B3838"/>
                                        <w:sz w:val="24"/>
                                        <w:szCs w:val="24"/>
                                      </w:rPr>
                                      <w:br/>
                                    </w:r>
                                    <w:r>
                                      <w:rPr>
                                        <w:rStyle w:val="lev"/>
                                        <w:rFonts w:ascii="Arial" w:hAnsi="Arial" w:cs="Arial"/>
                                        <w:color w:val="3B3838"/>
                                        <w:sz w:val="24"/>
                                        <w:szCs w:val="24"/>
                                      </w:rPr>
                                      <w:t>pour soutenir les groupements d’employeurs</w:t>
                                    </w:r>
                                    <w:r>
                                      <w:rPr>
                                        <w:rFonts w:ascii="Arial" w:hAnsi="Arial" w:cs="Arial"/>
                                        <w:b/>
                                        <w:bCs/>
                                        <w:color w:val="3B3838"/>
                                        <w:sz w:val="24"/>
                                        <w:szCs w:val="24"/>
                                      </w:rPr>
                                      <w:t xml:space="preserve"> </w:t>
                                    </w:r>
                                  </w:p>
                                  <w:bookmarkEnd w:id="0"/>
                                  <w:p w:rsidR="00933564" w:rsidRDefault="00933564">
                                    <w:pPr>
                                      <w:jc w:val="center"/>
                                      <w:rPr>
                                        <w:color w:val="1F497D"/>
                                      </w:rPr>
                                    </w:pPr>
                                  </w:p>
                                  <w:tbl>
                                    <w:tblPr>
                                      <w:tblpPr w:vertAnchor="text"/>
                                      <w:tblW w:w="5000" w:type="pct"/>
                                      <w:tblCellMar>
                                        <w:left w:w="0" w:type="dxa"/>
                                        <w:right w:w="0" w:type="dxa"/>
                                      </w:tblCellMar>
                                      <w:tblLook w:val="04A0" w:firstRow="1" w:lastRow="0" w:firstColumn="1" w:lastColumn="0" w:noHBand="0" w:noVBand="1"/>
                                    </w:tblPr>
                                    <w:tblGrid>
                                      <w:gridCol w:w="8212"/>
                                    </w:tblGrid>
                                    <w:tr w:rsidR="00933564">
                                      <w:tc>
                                        <w:tcPr>
                                          <w:tcW w:w="0" w:type="auto"/>
                                          <w:vAlign w:val="center"/>
                                        </w:tcPr>
                                        <w:p w:rsidR="00933564" w:rsidRDefault="00933564">
                                          <w:pPr>
                                            <w:spacing w:after="160" w:line="252" w:lineRule="auto"/>
                                            <w:jc w:val="both"/>
                                            <w:rPr>
                                              <w:rFonts w:ascii="Arial" w:hAnsi="Arial" w:cs="Arial"/>
                                              <w:b/>
                                              <w:bCs/>
                                              <w:color w:val="000000"/>
                                              <w:sz w:val="21"/>
                                              <w:szCs w:val="21"/>
                                            </w:rPr>
                                          </w:pPr>
                                          <w:r>
                                            <w:rPr>
                                              <w:rFonts w:ascii="Arial" w:hAnsi="Arial" w:cs="Arial"/>
                                              <w:b/>
                                              <w:bCs/>
                                              <w:color w:val="3B3838"/>
                                              <w:sz w:val="21"/>
                                              <w:szCs w:val="21"/>
                                            </w:rPr>
                                            <w:t xml:space="preserve">Dans le cadre de la mobilisation du Gouvernement pour réduire les contrats courts et améliorer la qualité des emplois, Elisabeth Borne, ministre du Travail, de l’Emploi et de l’Insertion a annoncé les résultats de l’appel à manifestation d’intérêt (AMI) en faveur des groupements d’employeurs à l’occasion d’un déplacement à Lyon où elle a rencontré les porteurs d’un projet lauréat. </w:t>
                                          </w:r>
                                        </w:p>
                                        <w:p w:rsidR="00933564" w:rsidRDefault="00933564">
                                          <w:pPr>
                                            <w:spacing w:after="160" w:line="252" w:lineRule="auto"/>
                                            <w:jc w:val="both"/>
                                            <w:rPr>
                                              <w:rFonts w:ascii="Arial" w:hAnsi="Arial" w:cs="Arial"/>
                                              <w:color w:val="3B3838"/>
                                              <w:sz w:val="21"/>
                                              <w:szCs w:val="21"/>
                                            </w:rPr>
                                          </w:pPr>
                                          <w:r>
                                            <w:rPr>
                                              <w:rFonts w:ascii="Arial" w:hAnsi="Arial" w:cs="Arial"/>
                                              <w:color w:val="3B3838"/>
                                              <w:sz w:val="21"/>
                                              <w:szCs w:val="21"/>
                                            </w:rPr>
                                            <w:t xml:space="preserve">En lien avec l’entrée en vigueur le 1er juillet dernier du bonus-malus prévu par la réforme de l’assurance chômage, le Gouvernement met en place un plan d’accompagnement des entreprises qui souhaitent proposer des contrats plus durables. C’est dans ce cadre que s’inscrit l’AMI lancé le 8 décembre dernier pour soutenir le développement des groupements d’employeurs. En effet, les groupements d’employeurs constituent un dispositif pertinent pour sécuriser les parcours professionnels des salariés avec des emplois souvent plus pérennes et répondre aux besoins de recrutement des entreprises, en particulier dans les secteurs en tension. </w:t>
                                          </w:r>
                                        </w:p>
                                        <w:p w:rsidR="00933564" w:rsidRDefault="00933564">
                                          <w:pPr>
                                            <w:spacing w:after="160" w:line="252" w:lineRule="auto"/>
                                            <w:jc w:val="both"/>
                                            <w:rPr>
                                              <w:rFonts w:ascii="Arial" w:hAnsi="Arial" w:cs="Arial"/>
                                              <w:color w:val="3B3838"/>
                                              <w:sz w:val="21"/>
                                              <w:szCs w:val="21"/>
                                            </w:rPr>
                                          </w:pPr>
                                          <w:r>
                                            <w:rPr>
                                              <w:rFonts w:ascii="Arial" w:hAnsi="Arial" w:cs="Arial"/>
                                              <w:color w:val="3B3838"/>
                                              <w:sz w:val="21"/>
                                              <w:szCs w:val="21"/>
                                            </w:rPr>
                                            <w:t xml:space="preserve">Cet AMI a rencontré un succès important avec 229 projets déposés sur l’ensemble du territoire. Au terme de l’instruction menée par les services régionaux du ministère du Travail, 158 projets lauréats ont été retenus : </w:t>
                                          </w:r>
                                        </w:p>
                                        <w:p w:rsidR="00933564" w:rsidRDefault="00933564" w:rsidP="00A03C79">
                                          <w:pPr>
                                            <w:numPr>
                                              <w:ilvl w:val="0"/>
                                              <w:numId w:val="1"/>
                                            </w:numPr>
                                            <w:spacing w:after="160" w:line="252" w:lineRule="auto"/>
                                            <w:contextualSpacing/>
                                            <w:jc w:val="both"/>
                                            <w:rPr>
                                              <w:rFonts w:ascii="Arial" w:hAnsi="Arial" w:cs="Arial"/>
                                              <w:color w:val="3B3838"/>
                                              <w:sz w:val="21"/>
                                              <w:szCs w:val="21"/>
                                            </w:rPr>
                                          </w:pPr>
                                          <w:r>
                                            <w:rPr>
                                              <w:rFonts w:ascii="Arial" w:hAnsi="Arial" w:cs="Arial"/>
                                              <w:color w:val="3B3838"/>
                                              <w:sz w:val="21"/>
                                              <w:szCs w:val="21"/>
                                            </w:rPr>
                                            <w:t xml:space="preserve">78 % visent le développement de groupements d’employeurs existants et 22 % la création de nouveaux groupements ; </w:t>
                                          </w:r>
                                        </w:p>
                                        <w:p w:rsidR="00933564" w:rsidRDefault="00933564" w:rsidP="00A03C79">
                                          <w:pPr>
                                            <w:numPr>
                                              <w:ilvl w:val="0"/>
                                              <w:numId w:val="1"/>
                                            </w:numPr>
                                            <w:spacing w:after="160" w:line="252" w:lineRule="auto"/>
                                            <w:contextualSpacing/>
                                            <w:jc w:val="both"/>
                                            <w:rPr>
                                              <w:rFonts w:ascii="Arial" w:hAnsi="Arial" w:cs="Arial"/>
                                              <w:color w:val="3B3838"/>
                                              <w:sz w:val="21"/>
                                              <w:szCs w:val="21"/>
                                            </w:rPr>
                                          </w:pPr>
                                          <w:r>
                                            <w:rPr>
                                              <w:rFonts w:ascii="Arial" w:hAnsi="Arial" w:cs="Arial"/>
                                              <w:color w:val="3B3838"/>
                                              <w:sz w:val="21"/>
                                              <w:szCs w:val="21"/>
                                            </w:rPr>
                                            <w:t xml:space="preserve">33 % sont portés par un consortium d’acteurs associant, outre le groupement d’employeurs, des collectivités locales, le service public de l’emploi, des entreprises, un opérateur de compétences ou encore des fédérations professionnelles ; </w:t>
                                          </w:r>
                                        </w:p>
                                        <w:p w:rsidR="00933564" w:rsidRDefault="00933564" w:rsidP="00A03C79">
                                          <w:pPr>
                                            <w:numPr>
                                              <w:ilvl w:val="0"/>
                                              <w:numId w:val="1"/>
                                            </w:numPr>
                                            <w:spacing w:after="160" w:line="252" w:lineRule="auto"/>
                                            <w:contextualSpacing/>
                                            <w:jc w:val="both"/>
                                            <w:rPr>
                                              <w:rFonts w:ascii="Arial" w:hAnsi="Arial" w:cs="Arial"/>
                                              <w:color w:val="3B3838"/>
                                              <w:sz w:val="21"/>
                                              <w:szCs w:val="21"/>
                                            </w:rPr>
                                          </w:pPr>
                                          <w:r>
                                            <w:rPr>
                                              <w:rFonts w:ascii="Arial" w:hAnsi="Arial" w:cs="Arial"/>
                                              <w:color w:val="3B3838"/>
                                              <w:sz w:val="21"/>
                                              <w:szCs w:val="21"/>
                                            </w:rPr>
                                            <w:t xml:space="preserve">50 % s’inscrivent dans une logique multisectorielle ; </w:t>
                                          </w:r>
                                        </w:p>
                                        <w:p w:rsidR="00933564" w:rsidRDefault="00933564" w:rsidP="00A03C79">
                                          <w:pPr>
                                            <w:numPr>
                                              <w:ilvl w:val="0"/>
                                              <w:numId w:val="1"/>
                                            </w:numPr>
                                            <w:spacing w:after="160" w:line="252" w:lineRule="auto"/>
                                            <w:contextualSpacing/>
                                            <w:jc w:val="both"/>
                                            <w:rPr>
                                              <w:rFonts w:ascii="Arial" w:hAnsi="Arial" w:cs="Arial"/>
                                              <w:color w:val="3B3838"/>
                                              <w:sz w:val="21"/>
                                              <w:szCs w:val="21"/>
                                            </w:rPr>
                                          </w:pPr>
                                          <w:r>
                                            <w:rPr>
                                              <w:rFonts w:ascii="Arial" w:hAnsi="Arial" w:cs="Arial"/>
                                              <w:color w:val="3B3838"/>
                                              <w:sz w:val="21"/>
                                              <w:szCs w:val="21"/>
                                            </w:rPr>
                                            <w:lastRenderedPageBreak/>
                                            <w:t xml:space="preserve">12 % sont portés par un groupement d’employeurs pour l’insertion et la qualification (GEIQ). </w:t>
                                          </w:r>
                                        </w:p>
                                        <w:p w:rsidR="00933564" w:rsidRDefault="00933564">
                                          <w:pPr>
                                            <w:spacing w:after="160" w:line="252" w:lineRule="auto"/>
                                            <w:jc w:val="both"/>
                                            <w:rPr>
                                              <w:rFonts w:ascii="Arial" w:hAnsi="Arial" w:cs="Arial"/>
                                              <w:color w:val="3B3838"/>
                                              <w:sz w:val="21"/>
                                              <w:szCs w:val="21"/>
                                            </w:rPr>
                                          </w:pPr>
                                        </w:p>
                                        <w:p w:rsidR="00933564" w:rsidRDefault="00933564">
                                          <w:pPr>
                                            <w:spacing w:after="160" w:line="252" w:lineRule="auto"/>
                                            <w:jc w:val="both"/>
                                            <w:rPr>
                                              <w:rFonts w:ascii="Arial" w:hAnsi="Arial" w:cs="Arial"/>
                                              <w:color w:val="3B3838"/>
                                              <w:sz w:val="21"/>
                                              <w:szCs w:val="21"/>
                                            </w:rPr>
                                          </w:pPr>
                                          <w:r>
                                            <w:rPr>
                                              <w:rFonts w:ascii="Arial" w:hAnsi="Arial" w:cs="Arial"/>
                                              <w:color w:val="3B3838"/>
                                              <w:sz w:val="21"/>
                                              <w:szCs w:val="21"/>
                                            </w:rPr>
                                            <w:t xml:space="preserve">Au regard de la pertinence des projets sélectionnés par rapport aux objectifs de l’AMI, il a été décidé d’augmenter de 50 % l’enveloppe allouée à leur financement pour atteindre un montant de 6 millions d’euros. </w:t>
                                          </w:r>
                                        </w:p>
                                        <w:p w:rsidR="00933564" w:rsidRDefault="00933564">
                                          <w:pPr>
                                            <w:spacing w:after="160" w:line="252" w:lineRule="auto"/>
                                            <w:jc w:val="both"/>
                                            <w:rPr>
                                              <w:rFonts w:ascii="Arial" w:hAnsi="Arial" w:cs="Arial"/>
                                              <w:color w:val="3B3838"/>
                                              <w:sz w:val="21"/>
                                              <w:szCs w:val="21"/>
                                            </w:rPr>
                                          </w:pPr>
                                          <w:r>
                                            <w:rPr>
                                              <w:rFonts w:ascii="Arial" w:hAnsi="Arial" w:cs="Arial"/>
                                              <w:color w:val="3B3838"/>
                                              <w:sz w:val="21"/>
                                              <w:szCs w:val="21"/>
                                            </w:rPr>
                                            <w:t xml:space="preserve">Ces subventions permettront aux lauréats de renforcer leurs équipes pour répondre aux besoins d’un plus grand nombre d’entreprises de leur territoire notamment en étendant leur champ d’intervention dans les secteurs qui connaissent des tensions de recrutement (ex : aide à domicile, industrie agroalimentaire…). </w:t>
                                          </w:r>
                                        </w:p>
                                        <w:p w:rsidR="00933564" w:rsidRDefault="00933564">
                                          <w:pPr>
                                            <w:spacing w:line="276" w:lineRule="auto"/>
                                            <w:jc w:val="both"/>
                                            <w:rPr>
                                              <w:rFonts w:ascii="Arial" w:hAnsi="Arial" w:cs="Arial"/>
                                              <w:b/>
                                              <w:bCs/>
                                              <w:color w:val="000000"/>
                                              <w:sz w:val="21"/>
                                              <w:szCs w:val="21"/>
                                            </w:rPr>
                                          </w:pPr>
                                          <w:r>
                                            <w:rPr>
                                              <w:rFonts w:ascii="Arial" w:hAnsi="Arial" w:cs="Arial"/>
                                              <w:color w:val="3B3838"/>
                                              <w:sz w:val="21"/>
                                              <w:szCs w:val="21"/>
                                            </w:rPr>
                                            <w:t>Elles serviront également à développer le recrutement de salariés mis à disposition des entreprises et à renforcer la formation de ces derniers en réponse aux besoins exprimés sur le territoire (par exemple, en permettant à des travailleurs saisonniers dans les stations de ski d’être mis à disposition d’entreprises industrielles pendant l’été).</w:t>
                                          </w:r>
                                        </w:p>
                                      </w:tc>
                                    </w:tr>
                                  </w:tbl>
                                  <w:tbl>
                                    <w:tblPr>
                                      <w:tblW w:w="0" w:type="auto"/>
                                      <w:jc w:val="center"/>
                                      <w:tblCellMar>
                                        <w:left w:w="0" w:type="dxa"/>
                                        <w:right w:w="0" w:type="dxa"/>
                                      </w:tblCellMar>
                                      <w:tblLook w:val="04A0" w:firstRow="1" w:lastRow="0" w:firstColumn="1" w:lastColumn="0" w:noHBand="0" w:noVBand="1"/>
                                    </w:tblPr>
                                    <w:tblGrid>
                                      <w:gridCol w:w="59"/>
                                    </w:tblGrid>
                                    <w:tr w:rsidR="00933564">
                                      <w:trPr>
                                        <w:trHeight w:val="150"/>
                                        <w:jc w:val="center"/>
                                      </w:trPr>
                                      <w:tc>
                                        <w:tcPr>
                                          <w:tcW w:w="0" w:type="auto"/>
                                          <w:vAlign w:val="center"/>
                                          <w:hideMark/>
                                        </w:tcPr>
                                        <w:p w:rsidR="00933564" w:rsidRDefault="00933564">
                                          <w:pPr>
                                            <w:spacing w:line="150" w:lineRule="exact"/>
                                            <w:rPr>
                                              <w:rFonts w:ascii="Arial" w:hAnsi="Arial" w:cs="Arial"/>
                                              <w:sz w:val="21"/>
                                              <w:szCs w:val="21"/>
                                            </w:rPr>
                                          </w:pPr>
                                          <w:r>
                                            <w:rPr>
                                              <w:rFonts w:ascii="Arial" w:hAnsi="Arial" w:cs="Arial"/>
                                              <w:sz w:val="21"/>
                                              <w:szCs w:val="21"/>
                                            </w:rPr>
                                            <w:lastRenderedPageBreak/>
                                            <w:t xml:space="preserve">  </w:t>
                                          </w:r>
                                        </w:p>
                                      </w:tc>
                                    </w:tr>
                                  </w:tbl>
                                  <w:p w:rsidR="00933564" w:rsidRDefault="00933564">
                                    <w:pPr>
                                      <w:jc w:val="center"/>
                                      <w:rPr>
                                        <w:rFonts w:ascii="Times New Roman" w:hAnsi="Times New Roman" w:cs="Times New Roman"/>
                                        <w:sz w:val="24"/>
                                        <w:szCs w:val="24"/>
                                        <w:lang w:eastAsia="fr-FR"/>
                                      </w:rPr>
                                    </w:pPr>
                                  </w:p>
                                </w:tc>
                              </w:tr>
                            </w:tbl>
                            <w:p w:rsidR="00933564" w:rsidRDefault="00933564">
                              <w:pPr>
                                <w:rPr>
                                  <w:rFonts w:ascii="Times New Roman" w:eastAsia="Times New Roman" w:hAnsi="Times New Roman" w:cs="Times New Roman"/>
                                  <w:sz w:val="20"/>
                                  <w:szCs w:val="20"/>
                                  <w:lang w:eastAsia="fr-FR"/>
                                </w:rPr>
                              </w:pPr>
                            </w:p>
                          </w:tc>
                        </w:tr>
                      </w:tbl>
                      <w:p w:rsidR="00933564" w:rsidRDefault="00933564">
                        <w:pPr>
                          <w:jc w:val="center"/>
                          <w:rPr>
                            <w:rFonts w:ascii="Times New Roman" w:eastAsia="Times New Roman" w:hAnsi="Times New Roman" w:cs="Times New Roman"/>
                            <w:sz w:val="20"/>
                            <w:szCs w:val="20"/>
                            <w:lang w:eastAsia="fr-FR"/>
                          </w:rPr>
                        </w:pPr>
                      </w:p>
                    </w:tc>
                  </w:tr>
                </w:tbl>
                <w:p w:rsidR="00933564" w:rsidRDefault="00933564">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933564" w:rsidRDefault="00933564">
                  <w:pPr>
                    <w:rPr>
                      <w:rFonts w:ascii="Times New Roman" w:eastAsia="Times New Roman" w:hAnsi="Times New Roman" w:cs="Times New Roman"/>
                      <w:sz w:val="20"/>
                      <w:szCs w:val="20"/>
                      <w:lang w:eastAsia="fr-FR"/>
                    </w:rPr>
                  </w:pPr>
                </w:p>
              </w:tc>
            </w:tr>
          </w:tbl>
          <w:p w:rsidR="00933564" w:rsidRDefault="00933564">
            <w:pPr>
              <w:rPr>
                <w:rFonts w:ascii="Times New Roman" w:eastAsia="Times New Roman" w:hAnsi="Times New Roman" w:cs="Times New Roman"/>
                <w:sz w:val="20"/>
                <w:szCs w:val="20"/>
                <w:lang w:eastAsia="fr-FR"/>
              </w:rPr>
            </w:pPr>
          </w:p>
        </w:tc>
      </w:tr>
    </w:tbl>
    <w:p w:rsidR="00933564" w:rsidRDefault="00933564" w:rsidP="00933564">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933564" w:rsidTr="00933564">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933564">
              <w:tc>
                <w:tcPr>
                  <w:tcW w:w="150" w:type="dxa"/>
                  <w:shd w:val="clear" w:color="auto" w:fill="FFFFFF"/>
                  <w:vAlign w:val="center"/>
                  <w:hideMark/>
                </w:tcPr>
                <w:p w:rsidR="00933564" w:rsidRDefault="00933564">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93356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933564">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93356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933564">
                                      <w:tc>
                                        <w:tcPr>
                                          <w:tcW w:w="0" w:type="auto"/>
                                          <w:vAlign w:val="center"/>
                                          <w:hideMark/>
                                        </w:tcPr>
                                        <w:p w:rsidR="00933564" w:rsidRDefault="00933564">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933564" w:rsidRDefault="00933564">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933564" w:rsidRDefault="00933564">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933564" w:rsidRDefault="00933564">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933564" w:rsidRDefault="00933564">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6" w:history="1">
                                            <w:r>
                                              <w:rPr>
                                                <w:rStyle w:val="Lienhypertexte"/>
                                                <w:rFonts w:ascii="Arial" w:hAnsi="Arial" w:cs="Arial"/>
                                                <w:sz w:val="18"/>
                                                <w:szCs w:val="18"/>
                                              </w:rPr>
                                              <w:t>sec.presse.travail@cab.travail.gouv.fr</w:t>
                                            </w:r>
                                          </w:hyperlink>
                                        </w:p>
                                      </w:tc>
                                    </w:tr>
                                  </w:tbl>
                                  <w:p w:rsidR="00933564" w:rsidRDefault="00933564">
                                    <w:pPr>
                                      <w:rPr>
                                        <w:rFonts w:ascii="Times New Roman" w:eastAsia="Times New Roman" w:hAnsi="Times New Roman" w:cs="Times New Roman"/>
                                        <w:sz w:val="20"/>
                                        <w:szCs w:val="20"/>
                                        <w:lang w:eastAsia="fr-FR"/>
                                      </w:rPr>
                                    </w:pPr>
                                  </w:p>
                                </w:tc>
                              </w:tr>
                            </w:tbl>
                            <w:p w:rsidR="00933564" w:rsidRDefault="00933564">
                              <w:pPr>
                                <w:rPr>
                                  <w:rFonts w:ascii="Times New Roman" w:eastAsia="Times New Roman" w:hAnsi="Times New Roman" w:cs="Times New Roman"/>
                                  <w:sz w:val="20"/>
                                  <w:szCs w:val="20"/>
                                  <w:lang w:eastAsia="fr-FR"/>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93356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18"/>
                                    </w:tblGrid>
                                    <w:tr w:rsidR="00933564">
                                      <w:trPr>
                                        <w:trHeight w:val="960"/>
                                        <w:jc w:val="center"/>
                                      </w:trPr>
                                      <w:tc>
                                        <w:tcPr>
                                          <w:tcW w:w="0" w:type="auto"/>
                                          <w:vAlign w:val="center"/>
                                          <w:hideMark/>
                                        </w:tcPr>
                                        <w:p w:rsidR="00933564" w:rsidRDefault="00933564">
                                          <w:pPr>
                                            <w:spacing w:line="960" w:lineRule="exact"/>
                                            <w:rPr>
                                              <w:sz w:val="96"/>
                                              <w:szCs w:val="96"/>
                                            </w:rPr>
                                          </w:pPr>
                                          <w:r>
                                            <w:rPr>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933564">
                                      <w:tc>
                                        <w:tcPr>
                                          <w:tcW w:w="0" w:type="auto"/>
                                          <w:vAlign w:val="center"/>
                                          <w:hideMark/>
                                        </w:tcPr>
                                        <w:p w:rsidR="00933564" w:rsidRDefault="00933564">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933564" w:rsidRDefault="00933564">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933564" w:rsidRDefault="00933564">
                                    <w:pPr>
                                      <w:rPr>
                                        <w:rFonts w:ascii="Times New Roman" w:eastAsia="Times New Roman" w:hAnsi="Times New Roman" w:cs="Times New Roman"/>
                                        <w:sz w:val="20"/>
                                        <w:szCs w:val="20"/>
                                        <w:lang w:eastAsia="fr-FR"/>
                                      </w:rPr>
                                    </w:pPr>
                                  </w:p>
                                </w:tc>
                              </w:tr>
                            </w:tbl>
                            <w:p w:rsidR="00933564" w:rsidRDefault="00933564">
                              <w:pPr>
                                <w:rPr>
                                  <w:rFonts w:ascii="Times New Roman" w:eastAsia="Times New Roman" w:hAnsi="Times New Roman" w:cs="Times New Roman"/>
                                  <w:sz w:val="20"/>
                                  <w:szCs w:val="20"/>
                                  <w:lang w:eastAsia="fr-FR"/>
                                </w:rPr>
                              </w:pPr>
                            </w:p>
                          </w:tc>
                        </w:tr>
                      </w:tbl>
                      <w:p w:rsidR="00933564" w:rsidRDefault="00933564">
                        <w:pPr>
                          <w:jc w:val="center"/>
                          <w:rPr>
                            <w:rFonts w:ascii="Times New Roman" w:eastAsia="Times New Roman" w:hAnsi="Times New Roman" w:cs="Times New Roman"/>
                            <w:sz w:val="20"/>
                            <w:szCs w:val="20"/>
                            <w:lang w:eastAsia="fr-FR"/>
                          </w:rPr>
                        </w:pPr>
                      </w:p>
                    </w:tc>
                  </w:tr>
                </w:tbl>
                <w:p w:rsidR="00933564" w:rsidRDefault="00933564">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933564" w:rsidRDefault="00933564">
                  <w:pPr>
                    <w:rPr>
                      <w:rFonts w:ascii="Times New Roman" w:eastAsia="Times New Roman" w:hAnsi="Times New Roman" w:cs="Times New Roman"/>
                      <w:sz w:val="20"/>
                      <w:szCs w:val="20"/>
                      <w:lang w:eastAsia="fr-FR"/>
                    </w:rPr>
                  </w:pPr>
                </w:p>
              </w:tc>
            </w:tr>
          </w:tbl>
          <w:p w:rsidR="00933564" w:rsidRDefault="00933564">
            <w:pPr>
              <w:rPr>
                <w:rFonts w:ascii="Times New Roman" w:eastAsia="Times New Roman" w:hAnsi="Times New Roman" w:cs="Times New Roman"/>
                <w:sz w:val="20"/>
                <w:szCs w:val="20"/>
                <w:lang w:eastAsia="fr-FR"/>
              </w:rPr>
            </w:pPr>
          </w:p>
        </w:tc>
      </w:tr>
      <w:tr w:rsidR="00933564" w:rsidTr="00933564">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933564">
              <w:tc>
                <w:tcPr>
                  <w:tcW w:w="150" w:type="dxa"/>
                  <w:shd w:val="clear" w:color="auto" w:fill="FFFFFF"/>
                  <w:vAlign w:val="center"/>
                  <w:hideMark/>
                </w:tcPr>
                <w:p w:rsidR="00933564" w:rsidRDefault="00933564">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93356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93356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93356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933564">
                                      <w:tc>
                                        <w:tcPr>
                                          <w:tcW w:w="0" w:type="auto"/>
                                          <w:vAlign w:val="center"/>
                                          <w:hideMark/>
                                        </w:tcPr>
                                        <w:p w:rsidR="00933564" w:rsidRDefault="00933564">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7"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933564" w:rsidRDefault="00933564">
                                    <w:pPr>
                                      <w:rPr>
                                        <w:rFonts w:ascii="Times New Roman" w:eastAsia="Times New Roman" w:hAnsi="Times New Roman" w:cs="Times New Roman"/>
                                        <w:sz w:val="20"/>
                                        <w:szCs w:val="20"/>
                                        <w:lang w:eastAsia="fr-FR"/>
                                      </w:rPr>
                                    </w:pPr>
                                  </w:p>
                                </w:tc>
                              </w:tr>
                            </w:tbl>
                            <w:p w:rsidR="00933564" w:rsidRDefault="00933564">
                              <w:pPr>
                                <w:rPr>
                                  <w:rFonts w:ascii="Times New Roman" w:eastAsia="Times New Roman" w:hAnsi="Times New Roman" w:cs="Times New Roman"/>
                                  <w:sz w:val="20"/>
                                  <w:szCs w:val="20"/>
                                  <w:lang w:eastAsia="fr-FR"/>
                                </w:rPr>
                              </w:pPr>
                            </w:p>
                          </w:tc>
                        </w:tr>
                      </w:tbl>
                      <w:p w:rsidR="00933564" w:rsidRDefault="00933564">
                        <w:pPr>
                          <w:jc w:val="center"/>
                          <w:rPr>
                            <w:rFonts w:ascii="Times New Roman" w:eastAsia="Times New Roman" w:hAnsi="Times New Roman" w:cs="Times New Roman"/>
                            <w:sz w:val="20"/>
                            <w:szCs w:val="20"/>
                            <w:lang w:eastAsia="fr-FR"/>
                          </w:rPr>
                        </w:pPr>
                      </w:p>
                    </w:tc>
                  </w:tr>
                </w:tbl>
                <w:p w:rsidR="00933564" w:rsidRDefault="00933564">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933564" w:rsidRDefault="00933564">
                  <w:pPr>
                    <w:rPr>
                      <w:rFonts w:ascii="Times New Roman" w:eastAsia="Times New Roman" w:hAnsi="Times New Roman" w:cs="Times New Roman"/>
                      <w:sz w:val="20"/>
                      <w:szCs w:val="20"/>
                      <w:lang w:eastAsia="fr-FR"/>
                    </w:rPr>
                  </w:pPr>
                </w:p>
              </w:tc>
            </w:tr>
          </w:tbl>
          <w:p w:rsidR="00933564" w:rsidRDefault="00933564">
            <w:pPr>
              <w:rPr>
                <w:vanish/>
                <w:sz w:val="24"/>
                <w:szCs w:val="24"/>
              </w:rPr>
            </w:pPr>
          </w:p>
          <w:tbl>
            <w:tblPr>
              <w:tblW w:w="5000" w:type="pct"/>
              <w:tblCellMar>
                <w:left w:w="0" w:type="dxa"/>
                <w:right w:w="0" w:type="dxa"/>
              </w:tblCellMar>
              <w:tblLook w:val="04A0" w:firstRow="1" w:lastRow="0" w:firstColumn="1" w:lastColumn="0" w:noHBand="0" w:noVBand="1"/>
            </w:tblPr>
            <w:tblGrid>
              <w:gridCol w:w="9072"/>
            </w:tblGrid>
            <w:tr w:rsidR="00933564">
              <w:trPr>
                <w:trHeight w:val="150"/>
              </w:trPr>
              <w:tc>
                <w:tcPr>
                  <w:tcW w:w="9750" w:type="dxa"/>
                  <w:shd w:val="clear" w:color="auto" w:fill="FFFFFF"/>
                  <w:tcMar>
                    <w:top w:w="0" w:type="dxa"/>
                    <w:left w:w="150" w:type="dxa"/>
                    <w:bottom w:w="0" w:type="dxa"/>
                    <w:right w:w="150" w:type="dxa"/>
                  </w:tcMar>
                  <w:vAlign w:val="center"/>
                  <w:hideMark/>
                </w:tcPr>
                <w:p w:rsidR="00933564" w:rsidRDefault="00933564">
                  <w:pPr>
                    <w:spacing w:line="150" w:lineRule="exact"/>
                    <w:rPr>
                      <w:sz w:val="15"/>
                      <w:szCs w:val="15"/>
                    </w:rPr>
                  </w:pPr>
                  <w:r>
                    <w:rPr>
                      <w:sz w:val="15"/>
                      <w:szCs w:val="15"/>
                    </w:rPr>
                    <w:t xml:space="preserve">  </w:t>
                  </w:r>
                </w:p>
              </w:tc>
            </w:tr>
          </w:tbl>
          <w:p w:rsidR="00933564" w:rsidRDefault="00933564">
            <w:pPr>
              <w:rPr>
                <w:sz w:val="20"/>
                <w:szCs w:val="20"/>
              </w:rPr>
            </w:pPr>
          </w:p>
        </w:tc>
      </w:tr>
    </w:tbl>
    <w:p w:rsidR="00D933EC" w:rsidRDefault="00D933EC"/>
    <w:sectPr w:rsidR="00D93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2747A"/>
    <w:multiLevelType w:val="hybridMultilevel"/>
    <w:tmpl w:val="68ACE918"/>
    <w:lvl w:ilvl="0" w:tplc="0860AE2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64"/>
    <w:rsid w:val="00933564"/>
    <w:rsid w:val="00D933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035B5-2470-4FF5-8BEE-61A50F6E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56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33564"/>
    <w:rPr>
      <w:color w:val="0563C1"/>
      <w:u w:val="single"/>
    </w:rPr>
  </w:style>
  <w:style w:type="paragraph" w:styleId="NormalWeb">
    <w:name w:val="Normal (Web)"/>
    <w:basedOn w:val="Normal"/>
    <w:uiPriority w:val="99"/>
    <w:semiHidden/>
    <w:unhideWhenUsed/>
    <w:rsid w:val="00933564"/>
    <w:pPr>
      <w:spacing w:before="100" w:beforeAutospacing="1" w:after="100" w:afterAutospacing="1"/>
    </w:pPr>
    <w:rPr>
      <w:rFonts w:ascii="Times New Roman" w:hAnsi="Times New Roman" w:cs="Times New Roman"/>
      <w:sz w:val="24"/>
      <w:szCs w:val="24"/>
      <w:lang w:eastAsia="fr-FR"/>
    </w:rPr>
  </w:style>
  <w:style w:type="character" w:styleId="lev">
    <w:name w:val="Strong"/>
    <w:basedOn w:val="Policepardfaut"/>
    <w:uiPriority w:val="22"/>
    <w:qFormat/>
    <w:rsid w:val="00933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C-RGPD-CAB@ddc.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presse.travail@cab.travail.gouv.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3018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 Latifa (CAB/TRAVAIL)</dc:creator>
  <cp:keywords/>
  <dc:description/>
  <cp:lastModifiedBy>ZAHI, Latifa (CAB/TRAVAIL)</cp:lastModifiedBy>
  <cp:revision>1</cp:revision>
  <dcterms:created xsi:type="dcterms:W3CDTF">2022-03-17T14:46:00Z</dcterms:created>
  <dcterms:modified xsi:type="dcterms:W3CDTF">2022-03-17T14:47:00Z</dcterms:modified>
</cp:coreProperties>
</file>