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drawing>
          <wp:inline distT="0" distB="0" distL="0" distR="0">
            <wp:extent cx="2436826" cy="10668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36826" cy="1066800"/>
                    </a:xfrm>
                    <a:prstGeom prst="rect">
                      <a:avLst/>
                    </a:prstGeom>
                  </pic:spPr>
                </pic:pic>
              </a:graphicData>
            </a:graphic>
          </wp:inline>
        </w:drawing>
      </w:r>
      <w:r>
        <w:rPr>
          <w:rFonts w:ascii="Times New Roman"/>
          <w:sz w:val="20"/>
        </w:rPr>
      </w:r>
    </w:p>
    <w:p>
      <w:pPr>
        <w:pStyle w:val="BodyText"/>
        <w:spacing w:before="10"/>
        <w:rPr>
          <w:rFonts w:ascii="Times New Roman"/>
          <w:sz w:val="10"/>
        </w:rPr>
      </w:pPr>
    </w:p>
    <w:p>
      <w:pPr>
        <w:spacing w:before="93"/>
        <w:ind w:left="0" w:right="116" w:firstLine="0"/>
        <w:jc w:val="right"/>
        <w:rPr>
          <w:sz w:val="20"/>
        </w:rPr>
      </w:pPr>
      <w:r>
        <w:rPr>
          <w:sz w:val="20"/>
        </w:rPr>
        <w:t>Paris, le 21 juillet 2021</w:t>
      </w:r>
    </w:p>
    <w:p>
      <w:pPr>
        <w:pStyle w:val="BodyText"/>
        <w:rPr>
          <w:sz w:val="20"/>
        </w:rPr>
      </w:pPr>
    </w:p>
    <w:p>
      <w:pPr>
        <w:pStyle w:val="BodyText"/>
        <w:spacing w:before="6"/>
        <w:rPr>
          <w:sz w:val="25"/>
        </w:rPr>
      </w:pPr>
    </w:p>
    <w:p>
      <w:pPr>
        <w:pStyle w:val="Heading1"/>
        <w:spacing w:before="92"/>
      </w:pPr>
      <w:r>
        <w:rPr/>
        <w:t>Communiqué de presse</w:t>
      </w:r>
    </w:p>
    <w:p>
      <w:pPr>
        <w:pStyle w:val="BodyText"/>
        <w:rPr>
          <w:b/>
          <w:sz w:val="24"/>
        </w:rPr>
      </w:pPr>
    </w:p>
    <w:p>
      <w:pPr>
        <w:spacing w:before="0"/>
        <w:ind w:left="596" w:right="401" w:firstLine="0"/>
        <w:jc w:val="center"/>
        <w:rPr>
          <w:b/>
          <w:sz w:val="24"/>
        </w:rPr>
      </w:pPr>
      <w:r>
        <w:rPr>
          <w:b/>
          <w:sz w:val="24"/>
        </w:rPr>
        <w:t>Lancement de l’appel à projets « Repérer et mobiliser les publics invisibles et en priorité les plus jeunes d’entre eux »,</w:t>
      </w:r>
    </w:p>
    <w:p>
      <w:pPr>
        <w:spacing w:before="0"/>
        <w:ind w:left="596" w:right="395" w:firstLine="0"/>
        <w:jc w:val="center"/>
        <w:rPr>
          <w:b/>
          <w:sz w:val="24"/>
        </w:rPr>
      </w:pPr>
      <w:r>
        <w:rPr>
          <w:b/>
          <w:sz w:val="24"/>
        </w:rPr>
        <w:t>dédié aux maraudes numériques</w:t>
      </w:r>
    </w:p>
    <w:p>
      <w:pPr>
        <w:pStyle w:val="BodyText"/>
        <w:rPr>
          <w:b/>
          <w:sz w:val="26"/>
        </w:rPr>
      </w:pPr>
    </w:p>
    <w:p>
      <w:pPr>
        <w:pStyle w:val="BodyText"/>
        <w:rPr>
          <w:b/>
          <w:sz w:val="26"/>
        </w:rPr>
      </w:pPr>
    </w:p>
    <w:p>
      <w:pPr>
        <w:pStyle w:val="BodyText"/>
        <w:spacing w:before="184"/>
        <w:ind w:left="320" w:right="115"/>
        <w:jc w:val="both"/>
      </w:pPr>
      <w:r>
        <w:rPr/>
        <w:t>La</w:t>
      </w:r>
      <w:r>
        <w:rPr>
          <w:spacing w:val="-12"/>
        </w:rPr>
        <w:t> </w:t>
      </w:r>
      <w:r>
        <w:rPr/>
        <w:t>prise</w:t>
      </w:r>
      <w:r>
        <w:rPr>
          <w:spacing w:val="-11"/>
        </w:rPr>
        <w:t> </w:t>
      </w:r>
      <w:r>
        <w:rPr/>
        <w:t>en</w:t>
      </w:r>
      <w:r>
        <w:rPr>
          <w:spacing w:val="-11"/>
        </w:rPr>
        <w:t> </w:t>
      </w:r>
      <w:r>
        <w:rPr/>
        <w:t>charge</w:t>
      </w:r>
      <w:r>
        <w:rPr>
          <w:spacing w:val="-10"/>
        </w:rPr>
        <w:t> </w:t>
      </w:r>
      <w:r>
        <w:rPr/>
        <w:t>des</w:t>
      </w:r>
      <w:r>
        <w:rPr>
          <w:spacing w:val="-10"/>
        </w:rPr>
        <w:t> </w:t>
      </w:r>
      <w:r>
        <w:rPr/>
        <w:t>personnes</w:t>
      </w:r>
      <w:r>
        <w:rPr>
          <w:spacing w:val="-10"/>
        </w:rPr>
        <w:t> </w:t>
      </w:r>
      <w:r>
        <w:rPr/>
        <w:t>dites</w:t>
      </w:r>
      <w:r>
        <w:rPr>
          <w:spacing w:val="-13"/>
        </w:rPr>
        <w:t> </w:t>
      </w:r>
      <w:r>
        <w:rPr/>
        <w:t>«</w:t>
      </w:r>
      <w:r>
        <w:rPr>
          <w:spacing w:val="1"/>
        </w:rPr>
        <w:t> </w:t>
      </w:r>
      <w:r>
        <w:rPr/>
        <w:t>invisibles</w:t>
      </w:r>
      <w:r>
        <w:rPr>
          <w:spacing w:val="-1"/>
        </w:rPr>
        <w:t> </w:t>
      </w:r>
      <w:r>
        <w:rPr/>
        <w:t>»,</w:t>
      </w:r>
      <w:r>
        <w:rPr>
          <w:spacing w:val="-12"/>
        </w:rPr>
        <w:t> </w:t>
      </w:r>
      <w:r>
        <w:rPr/>
        <w:t>sorties</w:t>
      </w:r>
      <w:r>
        <w:rPr>
          <w:spacing w:val="-10"/>
        </w:rPr>
        <w:t> </w:t>
      </w:r>
      <w:r>
        <w:rPr/>
        <w:t>des</w:t>
      </w:r>
      <w:r>
        <w:rPr>
          <w:spacing w:val="-10"/>
        </w:rPr>
        <w:t> </w:t>
      </w:r>
      <w:r>
        <w:rPr/>
        <w:t>radars</w:t>
      </w:r>
      <w:r>
        <w:rPr>
          <w:spacing w:val="-9"/>
        </w:rPr>
        <w:t> </w:t>
      </w:r>
      <w:r>
        <w:rPr/>
        <w:t>de</w:t>
      </w:r>
      <w:r>
        <w:rPr>
          <w:spacing w:val="-13"/>
        </w:rPr>
        <w:t> </w:t>
      </w:r>
      <w:r>
        <w:rPr/>
        <w:t>nos</w:t>
      </w:r>
      <w:r>
        <w:rPr>
          <w:spacing w:val="-10"/>
        </w:rPr>
        <w:t> </w:t>
      </w:r>
      <w:r>
        <w:rPr/>
        <w:t>institutions,</w:t>
      </w:r>
      <w:r>
        <w:rPr>
          <w:spacing w:val="-9"/>
        </w:rPr>
        <w:t> </w:t>
      </w:r>
      <w:r>
        <w:rPr/>
        <w:t>constitue un enjeu majeur de la cohésion sociale de notre</w:t>
      </w:r>
      <w:r>
        <w:rPr>
          <w:spacing w:val="-7"/>
        </w:rPr>
        <w:t> </w:t>
      </w:r>
      <w:r>
        <w:rPr/>
        <w:t>pays.</w:t>
      </w:r>
    </w:p>
    <w:p>
      <w:pPr>
        <w:pStyle w:val="BodyText"/>
      </w:pPr>
    </w:p>
    <w:p>
      <w:pPr>
        <w:pStyle w:val="BodyText"/>
        <w:spacing w:before="1"/>
        <w:ind w:left="320" w:right="113"/>
        <w:jc w:val="both"/>
      </w:pPr>
      <w:r>
        <w:rPr/>
        <w:t>Porté par le Plan d’investissement dans les compétences (PIC), l’appel à projets « Repérer et mobiliser les publics invisibles et en priorité les plus jeunes d’entre eux » finance depuis 2019 des projets innovants destinés à « aller vers » les publics hors de tout radar institutionnel, ceux qui ont décroché,</w:t>
      </w:r>
      <w:r>
        <w:rPr>
          <w:spacing w:val="-6"/>
        </w:rPr>
        <w:t> </w:t>
      </w:r>
      <w:r>
        <w:rPr/>
        <w:t>et</w:t>
      </w:r>
      <w:r>
        <w:rPr>
          <w:spacing w:val="-5"/>
        </w:rPr>
        <w:t> </w:t>
      </w:r>
      <w:r>
        <w:rPr/>
        <w:t>à</w:t>
      </w:r>
      <w:r>
        <w:rPr>
          <w:spacing w:val="-5"/>
        </w:rPr>
        <w:t> </w:t>
      </w:r>
      <w:r>
        <w:rPr/>
        <w:t>les</w:t>
      </w:r>
      <w:r>
        <w:rPr>
          <w:spacing w:val="-4"/>
        </w:rPr>
        <w:t> </w:t>
      </w:r>
      <w:r>
        <w:rPr/>
        <w:t>remobiliser</w:t>
      </w:r>
      <w:r>
        <w:rPr>
          <w:spacing w:val="-4"/>
        </w:rPr>
        <w:t> </w:t>
      </w:r>
      <w:r>
        <w:rPr/>
        <w:t>à</w:t>
      </w:r>
      <w:r>
        <w:rPr>
          <w:spacing w:val="-5"/>
        </w:rPr>
        <w:t> </w:t>
      </w:r>
      <w:r>
        <w:rPr/>
        <w:t>travers</w:t>
      </w:r>
      <w:r>
        <w:rPr>
          <w:spacing w:val="-1"/>
        </w:rPr>
        <w:t> </w:t>
      </w:r>
      <w:r>
        <w:rPr/>
        <w:t>notamment</w:t>
      </w:r>
      <w:r>
        <w:rPr>
          <w:spacing w:val="-3"/>
        </w:rPr>
        <w:t> </w:t>
      </w:r>
      <w:r>
        <w:rPr/>
        <w:t>des</w:t>
      </w:r>
      <w:r>
        <w:rPr>
          <w:spacing w:val="-4"/>
        </w:rPr>
        <w:t> </w:t>
      </w:r>
      <w:r>
        <w:rPr/>
        <w:t>activités</w:t>
      </w:r>
      <w:r>
        <w:rPr>
          <w:spacing w:val="-5"/>
        </w:rPr>
        <w:t> </w:t>
      </w:r>
      <w:r>
        <w:rPr/>
        <w:t>ludiques,</w:t>
      </w:r>
      <w:r>
        <w:rPr>
          <w:spacing w:val="-5"/>
        </w:rPr>
        <w:t> </w:t>
      </w:r>
      <w:r>
        <w:rPr/>
        <w:t>sportives</w:t>
      </w:r>
      <w:r>
        <w:rPr>
          <w:spacing w:val="-5"/>
        </w:rPr>
        <w:t> </w:t>
      </w:r>
      <w:r>
        <w:rPr/>
        <w:t>et/ou</w:t>
      </w:r>
      <w:r>
        <w:rPr>
          <w:spacing w:val="-4"/>
        </w:rPr>
        <w:t> </w:t>
      </w:r>
      <w:r>
        <w:rPr/>
        <w:t>culturelles.</w:t>
      </w:r>
    </w:p>
    <w:p>
      <w:pPr>
        <w:pStyle w:val="BodyText"/>
        <w:spacing w:before="8"/>
        <w:rPr>
          <w:sz w:val="21"/>
        </w:rPr>
      </w:pPr>
    </w:p>
    <w:p>
      <w:pPr>
        <w:pStyle w:val="Heading2"/>
        <w:ind w:firstLine="0"/>
      </w:pPr>
      <w:r>
        <w:rPr/>
        <w:t>L’appel à projets est constitué de deux volets :</w:t>
      </w:r>
    </w:p>
    <w:p>
      <w:pPr>
        <w:pStyle w:val="ListParagraph"/>
        <w:numPr>
          <w:ilvl w:val="0"/>
          <w:numId w:val="1"/>
        </w:numPr>
        <w:tabs>
          <w:tab w:pos="1040" w:val="left" w:leader="none"/>
          <w:tab w:pos="1041" w:val="left" w:leader="none"/>
        </w:tabs>
        <w:spacing w:line="237" w:lineRule="auto" w:before="125" w:after="0"/>
        <w:ind w:left="1040" w:right="118" w:hanging="360"/>
        <w:jc w:val="left"/>
        <w:rPr>
          <w:sz w:val="22"/>
        </w:rPr>
      </w:pPr>
      <w:r>
        <w:rPr>
          <w:sz w:val="22"/>
        </w:rPr>
        <w:t>Un</w:t>
      </w:r>
      <w:r>
        <w:rPr>
          <w:spacing w:val="-5"/>
          <w:sz w:val="22"/>
        </w:rPr>
        <w:t> </w:t>
      </w:r>
      <w:r>
        <w:rPr>
          <w:sz w:val="22"/>
        </w:rPr>
        <w:t>volet</w:t>
      </w:r>
      <w:r>
        <w:rPr>
          <w:spacing w:val="-4"/>
          <w:sz w:val="22"/>
        </w:rPr>
        <w:t> </w:t>
      </w:r>
      <w:r>
        <w:rPr>
          <w:sz w:val="22"/>
        </w:rPr>
        <w:t>régional,</w:t>
      </w:r>
      <w:r>
        <w:rPr>
          <w:spacing w:val="-4"/>
          <w:sz w:val="22"/>
        </w:rPr>
        <w:t> </w:t>
      </w:r>
      <w:r>
        <w:rPr>
          <w:sz w:val="22"/>
        </w:rPr>
        <w:t>lancé</w:t>
      </w:r>
      <w:r>
        <w:rPr>
          <w:spacing w:val="-10"/>
          <w:sz w:val="22"/>
        </w:rPr>
        <w:t> </w:t>
      </w:r>
      <w:r>
        <w:rPr>
          <w:sz w:val="22"/>
        </w:rPr>
        <w:t>en</w:t>
      </w:r>
      <w:r>
        <w:rPr>
          <w:spacing w:val="-6"/>
          <w:sz w:val="22"/>
        </w:rPr>
        <w:t> </w:t>
      </w:r>
      <w:r>
        <w:rPr>
          <w:sz w:val="22"/>
        </w:rPr>
        <w:t>juin</w:t>
      </w:r>
      <w:r>
        <w:rPr>
          <w:spacing w:val="-5"/>
          <w:sz w:val="22"/>
        </w:rPr>
        <w:t> </w:t>
      </w:r>
      <w:r>
        <w:rPr>
          <w:sz w:val="22"/>
        </w:rPr>
        <w:t>2019,</w:t>
      </w:r>
      <w:r>
        <w:rPr>
          <w:spacing w:val="-7"/>
          <w:sz w:val="22"/>
        </w:rPr>
        <w:t> </w:t>
      </w:r>
      <w:r>
        <w:rPr>
          <w:sz w:val="22"/>
        </w:rPr>
        <w:t>qui</w:t>
      </w:r>
      <w:r>
        <w:rPr>
          <w:spacing w:val="-6"/>
          <w:sz w:val="22"/>
        </w:rPr>
        <w:t> </w:t>
      </w:r>
      <w:r>
        <w:rPr>
          <w:sz w:val="22"/>
        </w:rPr>
        <w:t>a</w:t>
      </w:r>
      <w:r>
        <w:rPr>
          <w:spacing w:val="-4"/>
          <w:sz w:val="22"/>
        </w:rPr>
        <w:t> </w:t>
      </w:r>
      <w:r>
        <w:rPr>
          <w:sz w:val="22"/>
        </w:rPr>
        <w:t>déjà</w:t>
      </w:r>
      <w:r>
        <w:rPr>
          <w:spacing w:val="-5"/>
          <w:sz w:val="22"/>
        </w:rPr>
        <w:t> </w:t>
      </w:r>
      <w:r>
        <w:rPr>
          <w:sz w:val="22"/>
        </w:rPr>
        <w:t>permis</w:t>
      </w:r>
      <w:r>
        <w:rPr>
          <w:spacing w:val="-5"/>
          <w:sz w:val="22"/>
        </w:rPr>
        <w:t> </w:t>
      </w:r>
      <w:r>
        <w:rPr>
          <w:sz w:val="22"/>
        </w:rPr>
        <w:t>le</w:t>
      </w:r>
      <w:r>
        <w:rPr>
          <w:spacing w:val="-5"/>
          <w:sz w:val="22"/>
        </w:rPr>
        <w:t> </w:t>
      </w:r>
      <w:r>
        <w:rPr>
          <w:sz w:val="22"/>
        </w:rPr>
        <w:t>déploiement</w:t>
      </w:r>
      <w:r>
        <w:rPr>
          <w:spacing w:val="-4"/>
          <w:sz w:val="22"/>
        </w:rPr>
        <w:t> </w:t>
      </w:r>
      <w:r>
        <w:rPr>
          <w:sz w:val="22"/>
        </w:rPr>
        <w:t>de</w:t>
      </w:r>
      <w:r>
        <w:rPr>
          <w:spacing w:val="-8"/>
          <w:sz w:val="22"/>
        </w:rPr>
        <w:t> </w:t>
      </w:r>
      <w:r>
        <w:rPr>
          <w:sz w:val="22"/>
        </w:rPr>
        <w:t>237</w:t>
      </w:r>
      <w:r>
        <w:rPr>
          <w:spacing w:val="-5"/>
          <w:sz w:val="22"/>
        </w:rPr>
        <w:t> </w:t>
      </w:r>
      <w:r>
        <w:rPr>
          <w:sz w:val="22"/>
        </w:rPr>
        <w:t>projets</w:t>
      </w:r>
      <w:r>
        <w:rPr>
          <w:spacing w:val="-7"/>
          <w:sz w:val="22"/>
        </w:rPr>
        <w:t> </w:t>
      </w:r>
      <w:r>
        <w:rPr>
          <w:sz w:val="22"/>
        </w:rPr>
        <w:t>sur</w:t>
      </w:r>
      <w:r>
        <w:rPr>
          <w:spacing w:val="-7"/>
          <w:sz w:val="22"/>
        </w:rPr>
        <w:t> </w:t>
      </w:r>
      <w:r>
        <w:rPr>
          <w:sz w:val="22"/>
        </w:rPr>
        <w:t>tout le territoire et pour lequel une nouvelle vague de sélection de lauréats est en</w:t>
      </w:r>
      <w:r>
        <w:rPr>
          <w:spacing w:val="-18"/>
          <w:sz w:val="22"/>
        </w:rPr>
        <w:t> </w:t>
      </w:r>
      <w:r>
        <w:rPr>
          <w:sz w:val="22"/>
        </w:rPr>
        <w:t>cours.</w:t>
      </w:r>
    </w:p>
    <w:p>
      <w:pPr>
        <w:pStyle w:val="Heading2"/>
        <w:numPr>
          <w:ilvl w:val="0"/>
          <w:numId w:val="1"/>
        </w:numPr>
        <w:tabs>
          <w:tab w:pos="1040" w:val="left" w:leader="none"/>
          <w:tab w:pos="1041" w:val="left" w:leader="none"/>
        </w:tabs>
        <w:spacing w:line="268" w:lineRule="exact" w:before="119" w:after="0"/>
        <w:ind w:left="1040" w:right="0" w:hanging="361"/>
        <w:jc w:val="left"/>
      </w:pPr>
      <w:r>
        <w:rPr/>
        <w:t>Un</w:t>
      </w:r>
      <w:r>
        <w:rPr>
          <w:spacing w:val="47"/>
        </w:rPr>
        <w:t> </w:t>
      </w:r>
      <w:r>
        <w:rPr>
          <w:spacing w:val="-3"/>
        </w:rPr>
        <w:t>volet</w:t>
      </w:r>
      <w:r>
        <w:rPr>
          <w:spacing w:val="49"/>
        </w:rPr>
        <w:t> </w:t>
      </w:r>
      <w:r>
        <w:rPr>
          <w:spacing w:val="-3"/>
        </w:rPr>
        <w:t>national</w:t>
      </w:r>
      <w:r>
        <w:rPr>
          <w:spacing w:val="49"/>
        </w:rPr>
        <w:t> </w:t>
      </w:r>
      <w:r>
        <w:rPr>
          <w:spacing w:val="-3"/>
        </w:rPr>
        <w:t>visant</w:t>
      </w:r>
      <w:r>
        <w:rPr>
          <w:spacing w:val="49"/>
        </w:rPr>
        <w:t> </w:t>
      </w:r>
      <w:r>
        <w:rPr/>
        <w:t>à</w:t>
      </w:r>
      <w:r>
        <w:rPr>
          <w:spacing w:val="48"/>
        </w:rPr>
        <w:t> </w:t>
      </w:r>
      <w:r>
        <w:rPr/>
        <w:t>«</w:t>
      </w:r>
      <w:r>
        <w:rPr>
          <w:spacing w:val="-2"/>
        </w:rPr>
        <w:t> </w:t>
      </w:r>
      <w:r>
        <w:rPr>
          <w:spacing w:val="-3"/>
        </w:rPr>
        <w:t>aller</w:t>
      </w:r>
      <w:r>
        <w:rPr>
          <w:spacing w:val="48"/>
        </w:rPr>
        <w:t> </w:t>
      </w:r>
      <w:r>
        <w:rPr>
          <w:spacing w:val="-3"/>
        </w:rPr>
        <w:t>vers </w:t>
      </w:r>
      <w:r>
        <w:rPr/>
        <w:t>»</w:t>
      </w:r>
      <w:r>
        <w:rPr>
          <w:spacing w:val="48"/>
        </w:rPr>
        <w:t> </w:t>
      </w:r>
      <w:r>
        <w:rPr/>
        <w:t>les</w:t>
      </w:r>
      <w:r>
        <w:rPr>
          <w:spacing w:val="44"/>
        </w:rPr>
        <w:t> </w:t>
      </w:r>
      <w:r>
        <w:rPr>
          <w:spacing w:val="-3"/>
        </w:rPr>
        <w:t>publics</w:t>
      </w:r>
      <w:r>
        <w:rPr>
          <w:spacing w:val="48"/>
        </w:rPr>
        <w:t> </w:t>
      </w:r>
      <w:r>
        <w:rPr/>
        <w:t>dits</w:t>
      </w:r>
      <w:r>
        <w:rPr>
          <w:spacing w:val="48"/>
        </w:rPr>
        <w:t> </w:t>
      </w:r>
      <w:r>
        <w:rPr/>
        <w:t>«</w:t>
      </w:r>
      <w:r>
        <w:rPr>
          <w:spacing w:val="-4"/>
        </w:rPr>
        <w:t> </w:t>
      </w:r>
      <w:r>
        <w:rPr>
          <w:spacing w:val="-3"/>
        </w:rPr>
        <w:t>invisibles </w:t>
      </w:r>
      <w:r>
        <w:rPr/>
        <w:t>»</w:t>
      </w:r>
      <w:r>
        <w:rPr>
          <w:spacing w:val="48"/>
        </w:rPr>
        <w:t> </w:t>
      </w:r>
      <w:r>
        <w:rPr/>
        <w:t>à</w:t>
      </w:r>
      <w:r>
        <w:rPr>
          <w:spacing w:val="48"/>
        </w:rPr>
        <w:t> </w:t>
      </w:r>
      <w:r>
        <w:rPr>
          <w:spacing w:val="-3"/>
        </w:rPr>
        <w:t>travers</w:t>
      </w:r>
      <w:r>
        <w:rPr>
          <w:spacing w:val="48"/>
        </w:rPr>
        <w:t> </w:t>
      </w:r>
      <w:r>
        <w:rPr/>
        <w:t>des</w:t>
      </w:r>
    </w:p>
    <w:p>
      <w:pPr>
        <w:spacing w:line="252" w:lineRule="exact" w:before="0"/>
        <w:ind w:left="1040" w:right="0" w:firstLine="0"/>
        <w:jc w:val="left"/>
        <w:rPr>
          <w:sz w:val="22"/>
        </w:rPr>
      </w:pPr>
      <w:r>
        <w:rPr>
          <w:b/>
          <w:sz w:val="22"/>
        </w:rPr>
        <w:t>« </w:t>
      </w:r>
      <w:r>
        <w:rPr>
          <w:b/>
          <w:spacing w:val="-3"/>
          <w:sz w:val="22"/>
        </w:rPr>
        <w:t>maraudes </w:t>
      </w:r>
      <w:r>
        <w:rPr>
          <w:b/>
          <w:sz w:val="22"/>
        </w:rPr>
        <w:t>» </w:t>
      </w:r>
      <w:r>
        <w:rPr>
          <w:b/>
          <w:spacing w:val="-3"/>
          <w:sz w:val="22"/>
        </w:rPr>
        <w:t>dans l’espace numérique </w:t>
      </w:r>
      <w:r>
        <w:rPr>
          <w:sz w:val="22"/>
        </w:rPr>
        <w:t>: </w:t>
      </w:r>
      <w:r>
        <w:rPr>
          <w:spacing w:val="-3"/>
          <w:sz w:val="22"/>
        </w:rPr>
        <w:t>réseaux sociaux, plateformes </w:t>
      </w:r>
      <w:r>
        <w:rPr>
          <w:sz w:val="22"/>
        </w:rPr>
        <w:t>de jeux en </w:t>
      </w:r>
      <w:r>
        <w:rPr>
          <w:spacing w:val="-3"/>
          <w:sz w:val="22"/>
        </w:rPr>
        <w:t>ligne, </w:t>
      </w:r>
      <w:r>
        <w:rPr>
          <w:sz w:val="22"/>
        </w:rPr>
        <w:t>net.</w:t>
      </w:r>
    </w:p>
    <w:p>
      <w:pPr>
        <w:pStyle w:val="BodyText"/>
        <w:spacing w:before="8"/>
        <w:rPr>
          <w:sz w:val="32"/>
        </w:rPr>
      </w:pPr>
    </w:p>
    <w:p>
      <w:pPr>
        <w:pStyle w:val="BodyText"/>
        <w:ind w:left="320" w:right="115"/>
        <w:jc w:val="both"/>
      </w:pPr>
      <w:r>
        <w:rPr/>
        <w:t>La crise sanitaire a amplifié la présence des jeunes dans l’espace numérique. Ainsi pour aller vers les</w:t>
      </w:r>
      <w:r>
        <w:rPr>
          <w:spacing w:val="-4"/>
        </w:rPr>
        <w:t> </w:t>
      </w:r>
      <w:r>
        <w:rPr/>
        <w:t>jeunes</w:t>
      </w:r>
      <w:r>
        <w:rPr>
          <w:spacing w:val="-3"/>
        </w:rPr>
        <w:t> </w:t>
      </w:r>
      <w:r>
        <w:rPr/>
        <w:t>les</w:t>
      </w:r>
      <w:r>
        <w:rPr>
          <w:spacing w:val="-5"/>
        </w:rPr>
        <w:t> </w:t>
      </w:r>
      <w:r>
        <w:rPr/>
        <w:t>plus</w:t>
      </w:r>
      <w:r>
        <w:rPr>
          <w:spacing w:val="-5"/>
        </w:rPr>
        <w:t> </w:t>
      </w:r>
      <w:r>
        <w:rPr/>
        <w:t>éloignés</w:t>
      </w:r>
      <w:r>
        <w:rPr>
          <w:spacing w:val="-4"/>
        </w:rPr>
        <w:t> </w:t>
      </w:r>
      <w:r>
        <w:rPr/>
        <w:t>de</w:t>
      </w:r>
      <w:r>
        <w:rPr>
          <w:spacing w:val="-5"/>
        </w:rPr>
        <w:t> </w:t>
      </w:r>
      <w:r>
        <w:rPr/>
        <w:t>l’emploi,</w:t>
      </w:r>
      <w:r>
        <w:rPr>
          <w:spacing w:val="-5"/>
        </w:rPr>
        <w:t> </w:t>
      </w:r>
      <w:r>
        <w:rPr/>
        <w:t>il</w:t>
      </w:r>
      <w:r>
        <w:rPr>
          <w:spacing w:val="-3"/>
        </w:rPr>
        <w:t> </w:t>
      </w:r>
      <w:r>
        <w:rPr/>
        <w:t>est</w:t>
      </w:r>
      <w:r>
        <w:rPr>
          <w:spacing w:val="-5"/>
        </w:rPr>
        <w:t> </w:t>
      </w:r>
      <w:r>
        <w:rPr/>
        <w:t>nécessaire</w:t>
      </w:r>
      <w:r>
        <w:rPr>
          <w:spacing w:val="-3"/>
        </w:rPr>
        <w:t> </w:t>
      </w:r>
      <w:r>
        <w:rPr/>
        <w:t>d’utiliser</w:t>
      </w:r>
      <w:r>
        <w:rPr>
          <w:spacing w:val="-3"/>
        </w:rPr>
        <w:t> </w:t>
      </w:r>
      <w:r>
        <w:rPr/>
        <w:t>les</w:t>
      </w:r>
      <w:r>
        <w:rPr>
          <w:spacing w:val="-5"/>
        </w:rPr>
        <w:t> </w:t>
      </w:r>
      <w:r>
        <w:rPr/>
        <w:t>canaux</w:t>
      </w:r>
      <w:r>
        <w:rPr>
          <w:spacing w:val="-5"/>
        </w:rPr>
        <w:t> </w:t>
      </w:r>
      <w:r>
        <w:rPr/>
        <w:t>digitaux,</w:t>
      </w:r>
      <w:r>
        <w:rPr>
          <w:spacing w:val="-2"/>
        </w:rPr>
        <w:t> </w:t>
      </w:r>
      <w:r>
        <w:rPr/>
        <w:t>de</w:t>
      </w:r>
      <w:r>
        <w:rPr>
          <w:spacing w:val="-1"/>
        </w:rPr>
        <w:t> </w:t>
      </w:r>
      <w:r>
        <w:rPr/>
        <w:t>renouveler les approches de repérage et de (re)mobilisation en s’inscrivant dans leurs codes et références culturelles. En outre le numérique est un support de médiation entre les institutions, en particulier le service public de l’emploi, et les publics dits « invisibles », en particulier les jeunes décrocheurs, mineurs -au titre de leur obligation de formation- ou majeurs en situation de</w:t>
      </w:r>
      <w:r>
        <w:rPr>
          <w:spacing w:val="-21"/>
        </w:rPr>
        <w:t> </w:t>
      </w:r>
      <w:r>
        <w:rPr/>
        <w:t>décrochage.</w:t>
      </w:r>
    </w:p>
    <w:p>
      <w:pPr>
        <w:pStyle w:val="BodyText"/>
        <w:spacing w:before="119"/>
        <w:ind w:left="320" w:right="116"/>
        <w:jc w:val="both"/>
      </w:pPr>
      <w:r>
        <w:rPr/>
        <w:t>Les projets devront utiliser le digital comme mode de captation ou de prise de contact, mobiliser des solutions</w:t>
      </w:r>
      <w:r>
        <w:rPr>
          <w:spacing w:val="-18"/>
        </w:rPr>
        <w:t> </w:t>
      </w:r>
      <w:r>
        <w:rPr/>
        <w:t>personnalisées</w:t>
      </w:r>
      <w:r>
        <w:rPr>
          <w:spacing w:val="-20"/>
        </w:rPr>
        <w:t> </w:t>
      </w:r>
      <w:r>
        <w:rPr/>
        <w:t>reposant</w:t>
      </w:r>
      <w:r>
        <w:rPr>
          <w:spacing w:val="-20"/>
        </w:rPr>
        <w:t> </w:t>
      </w:r>
      <w:r>
        <w:rPr/>
        <w:t>sur</w:t>
      </w:r>
      <w:r>
        <w:rPr>
          <w:spacing w:val="-17"/>
        </w:rPr>
        <w:t> </w:t>
      </w:r>
      <w:r>
        <w:rPr/>
        <w:t>l’intelligence</w:t>
      </w:r>
      <w:r>
        <w:rPr>
          <w:spacing w:val="-20"/>
        </w:rPr>
        <w:t> </w:t>
      </w:r>
      <w:r>
        <w:rPr/>
        <w:t>artificielle,</w:t>
      </w:r>
      <w:r>
        <w:rPr>
          <w:spacing w:val="-17"/>
        </w:rPr>
        <w:t> </w:t>
      </w:r>
      <w:r>
        <w:rPr/>
        <w:t>s’appuyer</w:t>
      </w:r>
      <w:r>
        <w:rPr>
          <w:spacing w:val="-17"/>
        </w:rPr>
        <w:t> </w:t>
      </w:r>
      <w:r>
        <w:rPr/>
        <w:t>sur</w:t>
      </w:r>
      <w:r>
        <w:rPr>
          <w:spacing w:val="-19"/>
        </w:rPr>
        <w:t> </w:t>
      </w:r>
      <w:r>
        <w:rPr/>
        <w:t>les</w:t>
      </w:r>
      <w:r>
        <w:rPr>
          <w:spacing w:val="-18"/>
        </w:rPr>
        <w:t> </w:t>
      </w:r>
      <w:r>
        <w:rPr/>
        <w:t>leviers</w:t>
      </w:r>
      <w:r>
        <w:rPr>
          <w:spacing w:val="-17"/>
        </w:rPr>
        <w:t> </w:t>
      </w:r>
      <w:r>
        <w:rPr/>
        <w:t>motivationnels des publics, en particulier les jeunes, pour créer un lien et les (re)mobiliser, avant de leur orienter vers des structures de prise en charge</w:t>
      </w:r>
      <w:r>
        <w:rPr>
          <w:spacing w:val="-1"/>
        </w:rPr>
        <w:t> </w:t>
      </w:r>
      <w:r>
        <w:rPr/>
        <w:t>adéquates.</w:t>
      </w:r>
    </w:p>
    <w:p>
      <w:pPr>
        <w:pStyle w:val="BodyText"/>
        <w:spacing w:before="121"/>
        <w:ind w:left="320" w:right="113"/>
        <w:jc w:val="both"/>
      </w:pPr>
      <w:r>
        <w:rPr/>
        <w:t>À titre d’illustration, ils pourront être portés par des acteurs de la (re)médiation numérique, des structures de production de contenus d’influence sur les plateformes de vidéo et musique ou des plateformes de jeux en ligne, les réseaux sociaux numériques. Les projets pourront aussi s’appuyer sur les startups de la French Tech ou les laboratoires de recherche spécialisés dans la data.</w:t>
      </w:r>
    </w:p>
    <w:p>
      <w:pPr>
        <w:pStyle w:val="BodyText"/>
        <w:spacing w:before="122"/>
        <w:ind w:left="320"/>
        <w:jc w:val="both"/>
      </w:pPr>
      <w:r>
        <w:rPr/>
        <w:t>Les projets sont attendus jusqu’au 30 septembre 2021.</w:t>
      </w:r>
    </w:p>
    <w:p>
      <w:pPr>
        <w:pStyle w:val="BodyText"/>
        <w:rPr>
          <w:sz w:val="24"/>
        </w:rPr>
      </w:pPr>
    </w:p>
    <w:p>
      <w:pPr>
        <w:pStyle w:val="BodyText"/>
        <w:spacing w:before="4"/>
        <w:rPr>
          <w:sz w:val="30"/>
        </w:rPr>
      </w:pPr>
    </w:p>
    <w:p>
      <w:pPr>
        <w:pStyle w:val="BodyText"/>
        <w:ind w:left="320"/>
      </w:pPr>
      <w:r>
        <w:rPr/>
        <w:t>Retrouvez le cahier des charges et déposez votre projet :</w:t>
      </w:r>
    </w:p>
    <w:p>
      <w:pPr>
        <w:spacing w:before="3"/>
        <w:ind w:left="320" w:right="0" w:firstLine="0"/>
        <w:jc w:val="left"/>
        <w:rPr>
          <w:rFonts w:ascii="Calibri"/>
          <w:sz w:val="20"/>
        </w:rPr>
      </w:pPr>
      <w:r>
        <w:rPr>
          <w:rFonts w:ascii="Calibri"/>
          <w:color w:val="0562C1"/>
          <w:sz w:val="20"/>
          <w:u w:val="single" w:color="0562C1"/>
        </w:rPr>
        <w:t>https://cdcinvestissementsdavenir.achatpublic.com/sdm/ent/gen/ent_detail.do?PCSLID=CSL_2021_arCBfbL5YC</w:t>
      </w:r>
    </w:p>
    <w:p>
      <w:pPr>
        <w:pStyle w:val="BodyText"/>
        <w:spacing w:before="5"/>
        <w:rPr>
          <w:rFonts w:ascii="Calibri"/>
          <w:sz w:val="27"/>
        </w:rPr>
      </w:pPr>
    </w:p>
    <w:p>
      <w:pPr>
        <w:pStyle w:val="BodyText"/>
        <w:spacing w:before="94"/>
        <w:ind w:left="596" w:right="400"/>
        <w:jc w:val="center"/>
      </w:pPr>
      <w:r>
        <w:rPr/>
        <w:t>Contact : </w:t>
      </w:r>
      <w:hyperlink r:id="rId6">
        <w:r>
          <w:rPr>
            <w:color w:val="0562C1"/>
            <w:u w:val="single" w:color="0562C1"/>
          </w:rPr>
          <w:t>sec.presse.competences@cab.travail.gouv.fr</w:t>
        </w:r>
      </w:hyperlink>
    </w:p>
    <w:sectPr>
      <w:type w:val="continuous"/>
      <w:pgSz w:w="11910" w:h="16840"/>
      <w:pgMar w:top="500" w:bottom="280" w:left="7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40" w:hanging="360"/>
      </w:pPr>
      <w:rPr>
        <w:rFonts w:hint="default" w:ascii="Symbol" w:hAnsi="Symbol" w:eastAsia="Symbol" w:cs="Symbol"/>
        <w:w w:val="100"/>
        <w:sz w:val="22"/>
        <w:szCs w:val="22"/>
        <w:lang w:val="fr-FR" w:eastAsia="fr-FR" w:bidi="fr-FR"/>
      </w:rPr>
    </w:lvl>
    <w:lvl w:ilvl="1">
      <w:start w:val="0"/>
      <w:numFmt w:val="bullet"/>
      <w:lvlText w:val="•"/>
      <w:lvlJc w:val="left"/>
      <w:pPr>
        <w:ind w:left="1954" w:hanging="360"/>
      </w:pPr>
      <w:rPr>
        <w:rFonts w:hint="default"/>
        <w:lang w:val="fr-FR" w:eastAsia="fr-FR" w:bidi="fr-FR"/>
      </w:rPr>
    </w:lvl>
    <w:lvl w:ilvl="2">
      <w:start w:val="0"/>
      <w:numFmt w:val="bullet"/>
      <w:lvlText w:val="•"/>
      <w:lvlJc w:val="left"/>
      <w:pPr>
        <w:ind w:left="2869" w:hanging="360"/>
      </w:pPr>
      <w:rPr>
        <w:rFonts w:hint="default"/>
        <w:lang w:val="fr-FR" w:eastAsia="fr-FR" w:bidi="fr-FR"/>
      </w:rPr>
    </w:lvl>
    <w:lvl w:ilvl="3">
      <w:start w:val="0"/>
      <w:numFmt w:val="bullet"/>
      <w:lvlText w:val="•"/>
      <w:lvlJc w:val="left"/>
      <w:pPr>
        <w:ind w:left="3783" w:hanging="360"/>
      </w:pPr>
      <w:rPr>
        <w:rFonts w:hint="default"/>
        <w:lang w:val="fr-FR" w:eastAsia="fr-FR" w:bidi="fr-FR"/>
      </w:rPr>
    </w:lvl>
    <w:lvl w:ilvl="4">
      <w:start w:val="0"/>
      <w:numFmt w:val="bullet"/>
      <w:lvlText w:val="•"/>
      <w:lvlJc w:val="left"/>
      <w:pPr>
        <w:ind w:left="4698" w:hanging="360"/>
      </w:pPr>
      <w:rPr>
        <w:rFonts w:hint="default"/>
        <w:lang w:val="fr-FR" w:eastAsia="fr-FR" w:bidi="fr-FR"/>
      </w:rPr>
    </w:lvl>
    <w:lvl w:ilvl="5">
      <w:start w:val="0"/>
      <w:numFmt w:val="bullet"/>
      <w:lvlText w:val="•"/>
      <w:lvlJc w:val="left"/>
      <w:pPr>
        <w:ind w:left="5613" w:hanging="360"/>
      </w:pPr>
      <w:rPr>
        <w:rFonts w:hint="default"/>
        <w:lang w:val="fr-FR" w:eastAsia="fr-FR" w:bidi="fr-FR"/>
      </w:rPr>
    </w:lvl>
    <w:lvl w:ilvl="6">
      <w:start w:val="0"/>
      <w:numFmt w:val="bullet"/>
      <w:lvlText w:val="•"/>
      <w:lvlJc w:val="left"/>
      <w:pPr>
        <w:ind w:left="6527" w:hanging="360"/>
      </w:pPr>
      <w:rPr>
        <w:rFonts w:hint="default"/>
        <w:lang w:val="fr-FR" w:eastAsia="fr-FR" w:bidi="fr-FR"/>
      </w:rPr>
    </w:lvl>
    <w:lvl w:ilvl="7">
      <w:start w:val="0"/>
      <w:numFmt w:val="bullet"/>
      <w:lvlText w:val="•"/>
      <w:lvlJc w:val="left"/>
      <w:pPr>
        <w:ind w:left="7442" w:hanging="360"/>
      </w:pPr>
      <w:rPr>
        <w:rFonts w:hint="default"/>
        <w:lang w:val="fr-FR" w:eastAsia="fr-FR" w:bidi="fr-FR"/>
      </w:rPr>
    </w:lvl>
    <w:lvl w:ilvl="8">
      <w:start w:val="0"/>
      <w:numFmt w:val="bullet"/>
      <w:lvlText w:val="•"/>
      <w:lvlJc w:val="left"/>
      <w:pPr>
        <w:ind w:left="8357" w:hanging="36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2"/>
      <w:szCs w:val="22"/>
      <w:lang w:val="fr-FR" w:eastAsia="fr-FR" w:bidi="fr-FR"/>
    </w:rPr>
  </w:style>
  <w:style w:styleId="Heading1" w:type="paragraph">
    <w:name w:val="Heading 1"/>
    <w:basedOn w:val="Normal"/>
    <w:uiPriority w:val="1"/>
    <w:qFormat/>
    <w:pPr>
      <w:ind w:left="596" w:right="394"/>
      <w:jc w:val="center"/>
      <w:outlineLvl w:val="1"/>
    </w:pPr>
    <w:rPr>
      <w:rFonts w:ascii="Arial" w:hAnsi="Arial" w:eastAsia="Arial" w:cs="Arial"/>
      <w:b/>
      <w:bCs/>
      <w:sz w:val="24"/>
      <w:szCs w:val="24"/>
      <w:lang w:val="fr-FR" w:eastAsia="fr-FR" w:bidi="fr-FR"/>
    </w:rPr>
  </w:style>
  <w:style w:styleId="Heading2" w:type="paragraph">
    <w:name w:val="Heading 2"/>
    <w:basedOn w:val="Normal"/>
    <w:uiPriority w:val="1"/>
    <w:qFormat/>
    <w:pPr>
      <w:spacing w:before="1"/>
      <w:ind w:left="320" w:hanging="361"/>
      <w:outlineLvl w:val="2"/>
    </w:pPr>
    <w:rPr>
      <w:rFonts w:ascii="Arial" w:hAnsi="Arial" w:eastAsia="Arial" w:cs="Arial"/>
      <w:b/>
      <w:bCs/>
      <w:sz w:val="22"/>
      <w:szCs w:val="22"/>
      <w:lang w:val="fr-FR" w:eastAsia="fr-FR" w:bidi="fr-FR"/>
    </w:rPr>
  </w:style>
  <w:style w:styleId="ListParagraph" w:type="paragraph">
    <w:name w:val="List Paragraph"/>
    <w:basedOn w:val="Normal"/>
    <w:uiPriority w:val="1"/>
    <w:qFormat/>
    <w:pPr>
      <w:spacing w:before="119"/>
      <w:ind w:left="1040" w:hanging="361"/>
    </w:pPr>
    <w:rPr>
      <w:rFonts w:ascii="Arial" w:hAnsi="Arial" w:eastAsia="Arial" w:cs="Arial"/>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ec.presse.competences@cab.travail.gouv.fr"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MONFORT, Maryse (HCC)</dc:creator>
  <dcterms:created xsi:type="dcterms:W3CDTF">2021-07-21T07:59:47Z</dcterms:created>
  <dcterms:modified xsi:type="dcterms:W3CDTF">2021-07-21T07:59:47Z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2016</vt:lpwstr>
  </property>
  <property fmtid="{D5CDD505-2E9C-101B-9397-08002B2CF9AE}" pid="4" name="LastSaved">
    <vt:filetime>2021-07-21T00:00:00Z</vt:filetime>
  </property>
</Properties>
</file>