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F46B6C" w:rsidRPr="00F46B6C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5" w:tgtFrame="_blank" w:history="1">
                                            <w:r w:rsidRPr="00F46B6C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6B6C" w:rsidRPr="00F46B6C" w:rsidTr="00F46B6C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6B6C" w:rsidRPr="00F46B6C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46B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8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8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55"/>
                                          </w:tblGrid>
                                          <w:tr w:rsidR="00F46B6C" w:rsidRPr="00F46B6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6B6C" w:rsidRPr="00F46B6C" w:rsidRDefault="00F46B6C" w:rsidP="00F46B6C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46B6C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9CCEDF0" wp14:editId="58F5BEF1">
                                                      <wp:extent cx="2447925" cy="1615973"/>
                                                      <wp:effectExtent l="0" t="0" r="0" b="3810"/>
                                                      <wp:docPr id="2" name="Image 2" descr="C:\Users\aurelie.soulard\AppData\Local\Microsoft\Windows\INetCache\Content.MSO\872D45D5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:\Users\aurelie.soulard\AppData\Local\Microsoft\Windows\INetCache\Content.MSO\872D45D5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63995" cy="162658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6B6C" w:rsidRPr="00F46B6C" w:rsidRDefault="00F46B6C" w:rsidP="00F46B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46B6C" w:rsidRPr="00F46B6C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6B6C" w:rsidRPr="00F46B6C" w:rsidRDefault="00F46B6C" w:rsidP="00F4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COMMUNIQUE DE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46B6C" w:rsidRPr="00F46B6C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D82C59" w:rsidP="001525DD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2</w:t>
                                          </w:r>
                                          <w:r w:rsidR="001525D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2</w:t>
                                          </w:r>
                                          <w:bookmarkStart w:id="0" w:name="_GoBack"/>
                                          <w:bookmarkEnd w:id="0"/>
                                          <w:r w:rsidR="00F46B6C" w:rsidRPr="00F46B6C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/02/2021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6B6C" w:rsidRPr="00F46B6C" w:rsidRDefault="00F46B6C" w:rsidP="00F4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F46B6C" w:rsidRPr="00015C74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015C74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F46B6C" w:rsidRPr="00015C7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8"/>
                          <w:gridCol w:w="1514"/>
                        </w:tblGrid>
                        <w:tr w:rsidR="00F46B6C" w:rsidRPr="00015C74">
                          <w:trPr>
                            <w:jc w:val="center"/>
                          </w:trPr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F46B6C" w:rsidRPr="00015C74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F46B6C" w:rsidRPr="00015C7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015C74" w:rsidRDefault="00F46B6C" w:rsidP="00884AD5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VACCINATION CONTRE LA COVID-19 EN FRANCE –POSSIBILITE D’ADMINISTRER LE VACCIN ASTRAZENECA</w:t>
                                          </w:r>
                                          <w:r w:rsidR="00D82C5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AUX SALARIES DE 50 A 64 ANS INCLUS ATTEINTS DE COMORBIDITES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PAR LES</w:t>
                                          </w:r>
                                          <w:r w:rsidR="00884AD5"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SERVICES DE SANTE AU TRAVAIL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 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015C74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015C74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F46B6C" w:rsidRPr="00015C74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"/>
                                    </w:tblGrid>
                                    <w:tr w:rsidR="00F46B6C" w:rsidRPr="00015C74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015C74" w:rsidRDefault="00F46B6C" w:rsidP="00F46B6C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015C74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015C74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015C74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015C74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015C74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F46B6C" w:rsidRPr="00015C74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F46B6C" w:rsidRPr="00015C74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015C74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F46B6C" w:rsidRPr="00015C7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F46B6C" w:rsidRPr="00015C7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46B6C" w:rsidRPr="00015C74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F46B6C" w:rsidRPr="00015C7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À la suite des recommandations de la Haute Autorité de Santé (HAS) relatives à l’administration du vaccin </w:t>
                                          </w:r>
                                          <w:proofErr w:type="spellStart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, les 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>ministres rappellent que les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 médecins du travail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 ont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 la possibilité de vacciner les salariés volontaires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 xml:space="preserve"> dans le respect des règles d’approvisionnement de droit commun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393939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Conformément aux recommandations du 2 février 2021 de la Haute autorité de santé (HAS), il a été décidé qu’à compter du 25 février 2021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, après les professionnels de santé et du médico-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lastRenderedPageBreak/>
                                            <w:t>social,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 le vaccin </w:t>
                                          </w:r>
                                          <w:proofErr w:type="spellStart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sera utilisé notamment pour la vaccination des personnes de 50 à 64 ans inclus atteintes de comorbidités.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Les dispositions prises dans le cadre de la lutte contre l’épidémie de covid-19 prévoient la participation des services de santé au travail aux actions de vaccination définies par l'Etat.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Dans ce cadre, les services de santé au travail (SST), services autonomes et services inter-entreprises, 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peuvent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 s’engager dans la campagne de vaccination auprès des salariés répondant aux critères d’âge et de comorbidité tels que définis par les autorités sanitaires. 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Concrètement, 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à l’instar des médecins de ville,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les médecins du travail doivent se rapprocher de la pharmacie d’officine de leur choix, pour </w:t>
                                          </w:r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s’identifier et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se procurer des doses du vaccin </w:t>
                                          </w:r>
                                          <w:proofErr w:type="spellStart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="00884A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, sous le même régime de contingentement.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Comme pour tout acte de vaccination, leur intervention se fait dans le strict respect des règles déontologiques liées au consentement des personnes, au secret médical et à la confidentialité des vaccinations vis-à-vis de l’employeur.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82C59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La participation des médecins du travail s’intègre dans le cadre de la stratégie vaccinale définie par les autorités sanitaires, notamment s’agissant de la priorisation des publics cibles.</w:t>
                                          </w:r>
                                          <w:r w:rsid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82C59" w:rsidRDefault="00D82C59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lastRenderedPageBreak/>
                                            <w:t xml:space="preserve">Le périmètre d’intervention des </w:t>
                                          </w:r>
                                          <w:r w:rsidR="00E57561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services de santé au travail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 sera amené à s’adapter dans les semaines qui viennent au fur et à mesure de l’évolution </w:t>
                                          </w:r>
                                          <w:r w:rsidR="00602B4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de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la stratégie vaccinale globale et de la disponibilité des vaccins.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Une instruction de la Direction Générale du Travail (DGT) destinée à encadrer les modalités de leur intervention a été adressée aux services de santé au travail.</w:t>
                                          </w:r>
                                        </w:p>
                                        <w:p w:rsidR="00F46B6C" w:rsidRPr="00015C74" w:rsidRDefault="00F46B6C" w:rsidP="00F46B6C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6B6C" w:rsidRPr="00015C74" w:rsidRDefault="00F46B6C" w:rsidP="00D82C5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« 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Les services de santé au travail sont des professionnels expérimentés de la vaccination auprès du grand public. </w:t>
                                          </w:r>
                                          <w:r w:rsidR="002C5FC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Leur mission principale est de protéger la santé des salariés.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Chaque année, ce sont </w:t>
                                          </w:r>
                                          <w:r w:rsidR="002C5FC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ainsi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>plusieurs dizaines de milliers de salariés qui sont</w:t>
                                          </w:r>
                                          <w:r w:rsidR="002C5FC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vaccinés contre la grippe par leurs soins. Cette expérience ainsi que leur présence partout sur le territoire, au plus près du terrain, </w:t>
                                          </w:r>
                                          <w:r w:rsidR="002C5FC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>faciliteront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lang w:eastAsia="fr-FR"/>
                                            </w:rPr>
                                            <w:t xml:space="preserve"> l’accès au vaccin pour les salariés concernés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 xml:space="preserve"> » </w:t>
                                          </w:r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a déclaré Laurent </w:t>
                                          </w:r>
                                          <w:proofErr w:type="spellStart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  <w:r w:rsidRPr="00015C74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015C74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"/>
                                    </w:tblGrid>
                                    <w:tr w:rsidR="00F46B6C" w:rsidRPr="00015C74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015C74" w:rsidRDefault="00F46B6C" w:rsidP="00F46B6C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  <w:r w:rsidRPr="00015C74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015C74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015C74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015C74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015C74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015C74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F46B6C" w:rsidRPr="00015C74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F46B6C" w:rsidRPr="00F46B6C" w:rsidRDefault="00F46B6C" w:rsidP="00F4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2"/>
                          <w:gridCol w:w="3296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3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2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2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 </w:t>
                                          </w:r>
                                        </w:p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 PIETRASZEWSKI</w:t>
                                          </w:r>
                                        </w:p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7" w:tgtFrame="_blank" w:history="1">
                                            <w:r w:rsidRPr="00F46B6C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6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8"/>
                                    </w:tblGrid>
                                    <w:tr w:rsidR="00F46B6C" w:rsidRPr="00F46B6C">
                                      <w:trPr>
                                        <w:trHeight w:val="13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13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96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F46B6C" w:rsidRPr="00F46B6C" w:rsidRDefault="00F46B6C" w:rsidP="00F46B6C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 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 </w:t>
                                          </w: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hyperlink r:id="rId8" w:tgtFrame="_blank" w:history="1">
                                            <w:r w:rsidRPr="00F46B6C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6B6C" w:rsidRPr="00F46B6C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46B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6B6C" w:rsidRPr="00F46B6C" w:rsidRDefault="00F46B6C" w:rsidP="00F4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6B6C" w:rsidRPr="00F46B6C" w:rsidTr="00F4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F46B6C" w:rsidRPr="00F46B6C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6B6C" w:rsidRPr="00F46B6C" w:rsidRDefault="00F46B6C" w:rsidP="00F46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F46B6C" w:rsidRPr="00F46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F46B6C" w:rsidRPr="00F46B6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46B6C" w:rsidRPr="00F46B6C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F46B6C" w:rsidRPr="00F46B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6B6C" w:rsidRPr="00F46B6C" w:rsidRDefault="00F46B6C" w:rsidP="00F46B6C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46B6C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9" w:tgtFrame="_blank" w:history="1">
                                            <w:r w:rsidRPr="00F46B6C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6B6C" w:rsidRPr="00F46B6C" w:rsidRDefault="00F46B6C" w:rsidP="00F46B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B6C" w:rsidRPr="00F46B6C" w:rsidRDefault="00F46B6C" w:rsidP="00F46B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6B6C" w:rsidRPr="00F46B6C" w:rsidRDefault="00F46B6C" w:rsidP="00F46B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6B6C" w:rsidRPr="00F46B6C" w:rsidRDefault="00F46B6C" w:rsidP="00F4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B6C" w:rsidRPr="00F46B6C" w:rsidRDefault="00F46B6C" w:rsidP="00F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90345" w:rsidRDefault="00590345"/>
    <w:sectPr w:rsidR="0059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C"/>
    <w:rsid w:val="00015C74"/>
    <w:rsid w:val="001525DD"/>
    <w:rsid w:val="00203056"/>
    <w:rsid w:val="002C5FCF"/>
    <w:rsid w:val="00590345"/>
    <w:rsid w:val="00602B4F"/>
    <w:rsid w:val="00884AD5"/>
    <w:rsid w:val="00C8341D"/>
    <w:rsid w:val="00D82C59"/>
    <w:rsid w:val="00E57561"/>
    <w:rsid w:val="00EB3034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5AE1"/>
  <w15:chartTrackingRefBased/>
  <w15:docId w15:val="{93DFDAB6-F88C-4015-8E33-4DAC598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-retraites@retraites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35F2-4D38-473C-9033-C18DBAAC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2</cp:revision>
  <dcterms:created xsi:type="dcterms:W3CDTF">2021-02-22T08:14:00Z</dcterms:created>
  <dcterms:modified xsi:type="dcterms:W3CDTF">2021-02-22T08:14:00Z</dcterms:modified>
</cp:coreProperties>
</file>